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11" w:rsidRPr="00AE6DEE" w:rsidRDefault="007C2219" w:rsidP="00DE15C4">
      <w:pPr>
        <w:suppressAutoHyphens/>
        <w:autoSpaceDN w:val="0"/>
        <w:textAlignment w:val="baseline"/>
        <w:rPr>
          <w:rFonts w:eastAsia="Calibri"/>
        </w:rPr>
      </w:pPr>
      <w:r>
        <w:rPr>
          <w:noProof/>
        </w:rPr>
        <mc:AlternateContent>
          <mc:Choice Requires="wps">
            <w:drawing>
              <wp:anchor distT="0" distB="0" distL="114300" distR="114300" simplePos="0" relativeHeight="251635200" behindDoc="0" locked="0" layoutInCell="1" allowOverlap="1" wp14:anchorId="7FD8356B" wp14:editId="248644D5">
                <wp:simplePos x="0" y="0"/>
                <wp:positionH relativeFrom="column">
                  <wp:posOffset>-81280</wp:posOffset>
                </wp:positionH>
                <wp:positionV relativeFrom="paragraph">
                  <wp:posOffset>40640</wp:posOffset>
                </wp:positionV>
                <wp:extent cx="5972175" cy="2257425"/>
                <wp:effectExtent l="0" t="0" r="0" b="0"/>
                <wp:wrapTight wrapText="bothSides">
                  <wp:wrapPolygon edited="0">
                    <wp:start x="138" y="547"/>
                    <wp:lineTo x="138" y="20962"/>
                    <wp:lineTo x="21359" y="20962"/>
                    <wp:lineTo x="21359" y="547"/>
                    <wp:lineTo x="138" y="547"/>
                  </wp:wrapPolygon>
                </wp:wrapTight>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05B" w:rsidRPr="00EC0C5B" w:rsidRDefault="007B005B" w:rsidP="00AF5B0B">
                            <w:pPr>
                              <w:spacing w:after="120"/>
                              <w:rPr>
                                <w:b/>
                                <w:color w:val="564735"/>
                                <w:sz w:val="72"/>
                                <w:lang w:val="ru-RU"/>
                              </w:rPr>
                            </w:pPr>
                            <w:r w:rsidRPr="00AF5B0B">
                              <w:rPr>
                                <w:b/>
                                <w:color w:val="564735"/>
                                <w:sz w:val="72"/>
                              </w:rPr>
                              <w:t xml:space="preserve">ДОКЛАД </w:t>
                            </w:r>
                            <w:r>
                              <w:rPr>
                                <w:b/>
                                <w:color w:val="564735"/>
                                <w:sz w:val="72"/>
                              </w:rPr>
                              <w:t>ЗА ДЕЙНОСТТА</w:t>
                            </w:r>
                          </w:p>
                          <w:p w:rsidR="007B005B" w:rsidRPr="00EC0C5B" w:rsidRDefault="007B005B" w:rsidP="00AF5B0B">
                            <w:pPr>
                              <w:spacing w:after="120"/>
                              <w:rPr>
                                <w:b/>
                                <w:color w:val="564735"/>
                                <w:sz w:val="72"/>
                                <w:lang w:val="ru-RU"/>
                              </w:rPr>
                            </w:pPr>
                            <w:r>
                              <w:rPr>
                                <w:b/>
                                <w:color w:val="564735"/>
                                <w:sz w:val="72"/>
                                <w:lang w:val="ru-RU"/>
                              </w:rPr>
                              <w:t>за първо полугодие</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pt;margin-top:3.2pt;width:470.25pt;height:177.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" filled="f" stroked="f">
                <v:textbox inset=",7.2pt,,7.2pt">
                  <w:txbxContent>
                    <w:p w:rsidR="007B005B" w:rsidRPr="00EC0C5B" w:rsidRDefault="007B005B" w:rsidP="00AF5B0B">
                      <w:pPr>
                        <w:spacing w:after="120"/>
                        <w:rPr>
                          <w:b/>
                          <w:color w:val="564735"/>
                          <w:sz w:val="72"/>
                          <w:lang w:val="ru-RU"/>
                        </w:rPr>
                      </w:pPr>
                      <w:r w:rsidRPr="00AF5B0B">
                        <w:rPr>
                          <w:b/>
                          <w:color w:val="564735"/>
                          <w:sz w:val="72"/>
                        </w:rPr>
                        <w:t xml:space="preserve">ДОКЛАД </w:t>
                      </w:r>
                      <w:r>
                        <w:rPr>
                          <w:b/>
                          <w:color w:val="564735"/>
                          <w:sz w:val="72"/>
                        </w:rPr>
                        <w:t>ЗА ДЕЙНОСТТА</w:t>
                      </w:r>
                    </w:p>
                    <w:p w:rsidR="007B005B" w:rsidRPr="00EC0C5B" w:rsidRDefault="007B005B" w:rsidP="00AF5B0B">
                      <w:pPr>
                        <w:spacing w:after="120"/>
                        <w:rPr>
                          <w:b/>
                          <w:color w:val="564735"/>
                          <w:sz w:val="72"/>
                          <w:lang w:val="ru-RU"/>
                        </w:rPr>
                      </w:pPr>
                      <w:r>
                        <w:rPr>
                          <w:b/>
                          <w:color w:val="564735"/>
                          <w:sz w:val="72"/>
                          <w:lang w:val="ru-RU"/>
                        </w:rPr>
                        <w:t>за първо полугодие</w:t>
                      </w:r>
                    </w:p>
                  </w:txbxContent>
                </v:textbox>
                <w10:wrap type="tight"/>
              </v:shape>
            </w:pict>
          </mc:Fallback>
        </mc:AlternateContent>
      </w:r>
    </w:p>
    <w:p w:rsidR="00960B11" w:rsidRPr="00AE6DEE" w:rsidRDefault="00960B11" w:rsidP="00960B11">
      <w:pPr>
        <w:rPr>
          <w:rFonts w:eastAsia="Calibri"/>
        </w:rPr>
      </w:pPr>
    </w:p>
    <w:p w:rsidR="00153740" w:rsidRPr="00AE6DEE" w:rsidRDefault="00153740" w:rsidP="00960B11">
      <w:pPr>
        <w:rPr>
          <w:rFonts w:eastAsia="Calibri"/>
          <w:noProof/>
        </w:rPr>
      </w:pPr>
    </w:p>
    <w:p w:rsidR="004C302F" w:rsidRDefault="002657DA" w:rsidP="004C302F">
      <w:pPr>
        <w:spacing w:after="120"/>
        <w:rPr>
          <w:b/>
          <w:color w:val="564735"/>
          <w:sz w:val="56"/>
          <w:szCs w:val="56"/>
          <w:lang w:val="en-US"/>
        </w:rPr>
      </w:pPr>
      <w:r>
        <w:rPr>
          <w:b/>
          <w:color w:val="564735"/>
          <w:sz w:val="56"/>
          <w:szCs w:val="56"/>
        </w:rPr>
        <w:t>201</w:t>
      </w:r>
      <w:r w:rsidR="007B205E">
        <w:rPr>
          <w:b/>
          <w:color w:val="564735"/>
          <w:sz w:val="56"/>
          <w:szCs w:val="56"/>
        </w:rPr>
        <w:t>7</w:t>
      </w:r>
      <w:r>
        <w:rPr>
          <w:b/>
          <w:color w:val="564735"/>
          <w:sz w:val="56"/>
          <w:szCs w:val="56"/>
        </w:rPr>
        <w:t xml:space="preserve"> година</w:t>
      </w:r>
    </w:p>
    <w:p w:rsidR="00FD47D8" w:rsidRPr="00FD47D8" w:rsidRDefault="0007593F" w:rsidP="004C302F">
      <w:pPr>
        <w:spacing w:after="120"/>
        <w:rPr>
          <w:b/>
          <w:color w:val="564735"/>
          <w:sz w:val="56"/>
          <w:szCs w:val="56"/>
          <w:lang w:val="en-US"/>
        </w:rPr>
      </w:pPr>
      <w:r>
        <w:rPr>
          <w:rFonts w:eastAsia="Calibri"/>
          <w:noProof/>
        </w:rPr>
        <w:drawing>
          <wp:inline distT="0" distB="0" distL="0" distR="0" wp14:anchorId="4E0B55B4" wp14:editId="23E3A851">
            <wp:extent cx="5962650" cy="35909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590925"/>
                    </a:xfrm>
                    <a:prstGeom prst="rect">
                      <a:avLst/>
                    </a:prstGeom>
                    <a:noFill/>
                    <a:ln>
                      <a:noFill/>
                    </a:ln>
                  </pic:spPr>
                </pic:pic>
              </a:graphicData>
            </a:graphic>
          </wp:inline>
        </w:drawing>
      </w:r>
    </w:p>
    <w:p w:rsidR="00DB0FBB" w:rsidRDefault="007C2219" w:rsidP="00E8183A">
      <w:pPr>
        <w:suppressAutoHyphens/>
        <w:autoSpaceDN w:val="0"/>
        <w:spacing w:before="40" w:after="40" w:line="240" w:lineRule="auto"/>
        <w:jc w:val="both"/>
        <w:textAlignment w:val="baseline"/>
        <w:rPr>
          <w:rFonts w:eastAsia="Calibri" w:cs="Calibri"/>
          <w:b/>
          <w:i/>
          <w:color w:val="1F497D"/>
          <w:sz w:val="32"/>
          <w:szCs w:val="32"/>
          <w:lang w:val="en-US"/>
        </w:rPr>
      </w:pPr>
      <w:r>
        <w:rPr>
          <w:noProof/>
        </w:rPr>
        <mc:AlternateContent>
          <mc:Choice Requires="wps">
            <w:drawing>
              <wp:anchor distT="0" distB="0" distL="114300" distR="114300" simplePos="0" relativeHeight="251634176" behindDoc="0" locked="0" layoutInCell="1" allowOverlap="1" wp14:anchorId="6FBD01AA" wp14:editId="40F5D995">
                <wp:simplePos x="0" y="0"/>
                <wp:positionH relativeFrom="column">
                  <wp:posOffset>23495</wp:posOffset>
                </wp:positionH>
                <wp:positionV relativeFrom="paragraph">
                  <wp:posOffset>767715</wp:posOffset>
                </wp:positionV>
                <wp:extent cx="5953760" cy="1276350"/>
                <wp:effectExtent l="0" t="0" r="0" b="0"/>
                <wp:wrapTight wrapText="bothSides">
                  <wp:wrapPolygon edited="0">
                    <wp:start x="138" y="967"/>
                    <wp:lineTo x="138" y="20633"/>
                    <wp:lineTo x="21356" y="20633"/>
                    <wp:lineTo x="21356" y="967"/>
                    <wp:lineTo x="138" y="967"/>
                  </wp:wrapPolygon>
                </wp:wrapTight>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05B" w:rsidRDefault="007B005B" w:rsidP="00B55BAB">
                            <w:pPr>
                              <w:spacing w:after="120"/>
                              <w:rPr>
                                <w:b/>
                                <w:color w:val="564735"/>
                                <w:sz w:val="72"/>
                              </w:rPr>
                            </w:pPr>
                            <w:r>
                              <w:rPr>
                                <w:b/>
                                <w:color w:val="564735"/>
                                <w:sz w:val="72"/>
                              </w:rPr>
                              <w:t>СОФАРМА АД</w:t>
                            </w:r>
                          </w:p>
                          <w:p w:rsidR="007B005B" w:rsidRPr="002025D5" w:rsidRDefault="007B005B" w:rsidP="00B55BAB">
                            <w:pPr>
                              <w:spacing w:after="120"/>
                              <w:rPr>
                                <w:b/>
                                <w:color w:val="564735"/>
                                <w:sz w:val="36"/>
                                <w:szCs w:val="36"/>
                              </w:rPr>
                            </w:pPr>
                            <w:r>
                              <w:rPr>
                                <w:b/>
                                <w:color w:val="564735"/>
                                <w:sz w:val="36"/>
                                <w:szCs w:val="36"/>
                              </w:rPr>
                              <w:t>28.07.2017</w:t>
                            </w:r>
                            <w:r w:rsidRPr="002025D5">
                              <w:rPr>
                                <w:b/>
                                <w:color w:val="564735"/>
                                <w:sz w:val="36"/>
                                <w:szCs w:val="36"/>
                              </w:rPr>
                              <w:t xml:space="preserve"> </w:t>
                            </w:r>
                            <w:r>
                              <w:rPr>
                                <w:b/>
                                <w:color w:val="564735"/>
                                <w:sz w:val="36"/>
                                <w:szCs w:val="36"/>
                              </w:rPr>
                              <w:t>г.</w:t>
                            </w:r>
                          </w:p>
                          <w:p w:rsidR="007B005B" w:rsidRPr="00A375E5" w:rsidRDefault="007B005B" w:rsidP="00B55BAB">
                            <w:pPr>
                              <w:spacing w:after="120"/>
                              <w:rPr>
                                <w:b/>
                                <w:color w:val="564735"/>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85pt;margin-top:60.45pt;width:468.8pt;height:10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" filled="f" stroked="f">
                <v:textbox inset=",7.2pt,,7.2pt">
                  <w:txbxContent>
                    <w:p w:rsidR="007B005B" w:rsidRDefault="007B005B" w:rsidP="00B55BAB">
                      <w:pPr>
                        <w:spacing w:after="120"/>
                        <w:rPr>
                          <w:b/>
                          <w:color w:val="564735"/>
                          <w:sz w:val="72"/>
                        </w:rPr>
                      </w:pPr>
                      <w:r>
                        <w:rPr>
                          <w:b/>
                          <w:color w:val="564735"/>
                          <w:sz w:val="72"/>
                        </w:rPr>
                        <w:t>СОФАРМА АД</w:t>
                      </w:r>
                    </w:p>
                    <w:p w:rsidR="007B005B" w:rsidRPr="002025D5" w:rsidRDefault="007B005B" w:rsidP="00B55BAB">
                      <w:pPr>
                        <w:spacing w:after="120"/>
                        <w:rPr>
                          <w:b/>
                          <w:color w:val="564735"/>
                          <w:sz w:val="36"/>
                          <w:szCs w:val="36"/>
                        </w:rPr>
                      </w:pPr>
                      <w:r>
                        <w:rPr>
                          <w:b/>
                          <w:color w:val="564735"/>
                          <w:sz w:val="36"/>
                          <w:szCs w:val="36"/>
                        </w:rPr>
                        <w:t>28.07.2017</w:t>
                      </w:r>
                      <w:r w:rsidRPr="002025D5">
                        <w:rPr>
                          <w:b/>
                          <w:color w:val="564735"/>
                          <w:sz w:val="36"/>
                          <w:szCs w:val="36"/>
                        </w:rPr>
                        <w:t xml:space="preserve"> </w:t>
                      </w:r>
                      <w:r>
                        <w:rPr>
                          <w:b/>
                          <w:color w:val="564735"/>
                          <w:sz w:val="36"/>
                          <w:szCs w:val="36"/>
                        </w:rPr>
                        <w:t>г.</w:t>
                      </w:r>
                    </w:p>
                    <w:p w:rsidR="007B005B" w:rsidRPr="00A375E5" w:rsidRDefault="007B005B" w:rsidP="00B55BAB">
                      <w:pPr>
                        <w:spacing w:after="120"/>
                        <w:rPr>
                          <w:b/>
                          <w:color w:val="564735"/>
                          <w:sz w:val="32"/>
                          <w:szCs w:val="32"/>
                        </w:rPr>
                      </w:pPr>
                    </w:p>
                  </w:txbxContent>
                </v:textbox>
                <w10:wrap type="tight"/>
              </v:shape>
            </w:pict>
          </mc:Fallback>
        </mc:AlternateContent>
      </w:r>
      <w:r w:rsidR="000655CC" w:rsidRPr="00AE6DEE">
        <w:rPr>
          <w:rFonts w:eastAsia="Calibri" w:cs="Calibri"/>
          <w:b/>
          <w:i/>
          <w:color w:val="1F497D"/>
          <w:sz w:val="32"/>
          <w:szCs w:val="32"/>
        </w:rPr>
        <w:br w:type="page"/>
      </w:r>
    </w:p>
    <w:p w:rsidR="00DB0FBB" w:rsidRPr="00DA493D" w:rsidRDefault="00DB0FBB" w:rsidP="00DA493D">
      <w:pPr>
        <w:suppressAutoHyphens/>
        <w:autoSpaceDN w:val="0"/>
        <w:spacing w:after="120" w:line="240" w:lineRule="auto"/>
        <w:jc w:val="both"/>
        <w:textAlignment w:val="baseline"/>
        <w:rPr>
          <w:rFonts w:eastAsia="Calibri" w:cs="Calibri"/>
          <w:b/>
          <w:i/>
          <w:color w:val="1F497D"/>
          <w:sz w:val="28"/>
          <w:szCs w:val="28"/>
        </w:rPr>
      </w:pPr>
      <w:r w:rsidRPr="00DA493D">
        <w:rPr>
          <w:rFonts w:eastAsia="Calibri" w:cs="Calibri"/>
          <w:b/>
          <w:i/>
          <w:color w:val="1F497D"/>
          <w:sz w:val="28"/>
          <w:szCs w:val="28"/>
        </w:rPr>
        <w:lastRenderedPageBreak/>
        <w:t>Съдържание</w:t>
      </w:r>
    </w:p>
    <w:sdt>
      <w:sdtPr>
        <w:rPr>
          <w:rFonts w:ascii="Franklin Gothic Heavy" w:eastAsia="Times New Roman" w:hAnsi="Franklin Gothic Heavy" w:cs="Times New Roman"/>
          <w:color w:val="000066"/>
          <w:kern w:val="28"/>
          <w:sz w:val="28"/>
          <w:szCs w:val="28"/>
          <w:lang w:val="bg-BG" w:eastAsia="bg-BG"/>
        </w:rPr>
        <w:id w:val="1530758885"/>
        <w:docPartObj>
          <w:docPartGallery w:val="Table of Contents"/>
          <w:docPartUnique/>
        </w:docPartObj>
      </w:sdtPr>
      <w:sdtEndPr>
        <w:rPr>
          <w:noProof/>
        </w:rPr>
      </w:sdtEndPr>
      <w:sdtContent>
        <w:p w:rsidR="00D241D6" w:rsidRPr="0020695F" w:rsidRDefault="00D241D6">
          <w:pPr>
            <w:pStyle w:val="TOCHeading"/>
            <w:rPr>
              <w:i/>
            </w:rPr>
          </w:pPr>
        </w:p>
        <w:p w:rsidR="003000AF" w:rsidRPr="00677345" w:rsidRDefault="00D241D6">
          <w:pPr>
            <w:pStyle w:val="TOC1"/>
            <w:tabs>
              <w:tab w:val="left" w:pos="440"/>
              <w:tab w:val="right" w:leader="dot" w:pos="9372"/>
            </w:tabs>
            <w:rPr>
              <w:rFonts w:asciiTheme="minorHAnsi" w:eastAsiaTheme="minorEastAsia" w:hAnsiTheme="minorHAnsi" w:cstheme="minorBidi"/>
              <w:i/>
              <w:noProof/>
              <w:color w:val="365F91" w:themeColor="accent1" w:themeShade="BF"/>
              <w:lang w:val="en-US" w:eastAsia="en-US"/>
            </w:rPr>
          </w:pPr>
          <w:r w:rsidRPr="0020695F">
            <w:rPr>
              <w:i/>
              <w:color w:val="365F91" w:themeColor="accent1" w:themeShade="BF"/>
            </w:rPr>
            <w:fldChar w:fldCharType="begin"/>
          </w:r>
          <w:r w:rsidRPr="0020695F">
            <w:rPr>
              <w:i/>
              <w:color w:val="365F91" w:themeColor="accent1" w:themeShade="BF"/>
            </w:rPr>
            <w:instrText xml:space="preserve"> TOC \o "1-3" \h \z \u </w:instrText>
          </w:r>
          <w:r w:rsidRPr="0020695F">
            <w:rPr>
              <w:i/>
              <w:color w:val="365F91" w:themeColor="accent1" w:themeShade="BF"/>
            </w:rPr>
            <w:fldChar w:fldCharType="separate"/>
          </w:r>
          <w:hyperlink w:anchor="_Toc480984569" w:history="1">
            <w:r w:rsidR="003000AF" w:rsidRPr="00677345">
              <w:rPr>
                <w:rStyle w:val="Hyperlink"/>
                <w:rFonts w:eastAsia="Calibri" w:cstheme="minorHAnsi"/>
                <w:i/>
                <w:noProof/>
                <w:color w:val="365F91" w:themeColor="accent1" w:themeShade="BF"/>
              </w:rPr>
              <w:t>I.Обща информация за Софарма АД</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_Toc480984569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0" w:history="1">
            <w:r w:rsidR="003000AF" w:rsidRPr="00677345">
              <w:rPr>
                <w:rStyle w:val="Hyperlink"/>
                <w:rFonts w:eastAsia="Calibri" w:cstheme="minorHAnsi"/>
                <w:i/>
                <w:noProof/>
                <w:color w:val="365F91" w:themeColor="accent1" w:themeShade="BF"/>
              </w:rPr>
              <w:t>1. Регистрация и предмет на дейност</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_Toc480984570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1" w:history="1">
            <w:r w:rsidR="003000AF" w:rsidRPr="00677345">
              <w:rPr>
                <w:rStyle w:val="Hyperlink"/>
                <w:rFonts w:eastAsia="Calibri" w:cstheme="minorHAnsi"/>
                <w:i/>
                <w:noProof/>
                <w:color w:val="365F91" w:themeColor="accent1" w:themeShade="BF"/>
              </w:rPr>
              <w:t>2. Акционерна структура към 31.03.2017 г.</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_Toc480984571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2" w:history="1">
            <w:r w:rsidR="003000AF" w:rsidRPr="00677345">
              <w:rPr>
                <w:rStyle w:val="Hyperlink"/>
                <w:rFonts w:eastAsia="Calibri" w:cstheme="minorHAnsi"/>
                <w:i/>
                <w:noProof/>
                <w:color w:val="365F91" w:themeColor="accent1" w:themeShade="BF"/>
              </w:rPr>
              <w:t>3. Съвет на директорите</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_Toc480984572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3" w:history="1">
            <w:r w:rsidR="003000AF" w:rsidRPr="00677345">
              <w:rPr>
                <w:rStyle w:val="Hyperlink"/>
                <w:rFonts w:eastAsia="Calibri"/>
                <w:i/>
                <w:noProof/>
                <w:color w:val="365F91" w:themeColor="accent1" w:themeShade="BF"/>
              </w:rPr>
              <w:t xml:space="preserve">4. </w:t>
            </w:r>
            <w:r w:rsidR="003000AF" w:rsidRPr="00677345">
              <w:rPr>
                <w:rStyle w:val="Hyperlink"/>
                <w:rFonts w:eastAsia="Calibri"/>
                <w:i/>
                <w:noProof/>
                <w:color w:val="365F91" w:themeColor="accent1" w:themeShade="BF"/>
                <w:lang w:val="en-US"/>
              </w:rPr>
              <w:t>Персонал</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_Toc480984573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3</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4" w:history="1">
            <w:r w:rsidR="003000AF" w:rsidRPr="00677345">
              <w:rPr>
                <w:rStyle w:val="Hyperlink"/>
                <w:rFonts w:eastAsia="Calibri" w:cstheme="minorHAnsi"/>
                <w:i/>
                <w:noProof/>
                <w:color w:val="365F91" w:themeColor="accent1" w:themeShade="BF"/>
              </w:rPr>
              <w:t>5. Производствена дейност</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_Toc480984574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3</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5" w:history="1">
            <w:r w:rsidR="003000AF" w:rsidRPr="00677345">
              <w:rPr>
                <w:rStyle w:val="Hyperlink"/>
                <w:rFonts w:eastAsia="Calibri" w:cstheme="minorHAnsi"/>
                <w:i/>
                <w:noProof/>
                <w:color w:val="365F91" w:themeColor="accent1" w:themeShade="BF"/>
              </w:rPr>
              <w:t>6. Продукти</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_Toc480984575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4</w:t>
            </w:r>
            <w:r w:rsidR="003000AF" w:rsidRPr="00677345">
              <w:rPr>
                <w:i/>
                <w:noProof/>
                <w:webHidden/>
                <w:color w:val="365F91" w:themeColor="accent1" w:themeShade="BF"/>
              </w:rPr>
              <w:fldChar w:fldCharType="end"/>
            </w:r>
          </w:hyperlink>
        </w:p>
        <w:p w:rsidR="003000AF" w:rsidRPr="00677345" w:rsidRDefault="007B005B">
          <w:pPr>
            <w:pStyle w:val="TOC1"/>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6" w:history="1">
            <w:r w:rsidR="003000AF" w:rsidRPr="00677345">
              <w:rPr>
                <w:rStyle w:val="Hyperlink"/>
                <w:rFonts w:eastAsia="Calibri" w:cstheme="minorHAnsi"/>
                <w:i/>
                <w:noProof/>
                <w:color w:val="365F91" w:themeColor="accent1" w:themeShade="BF"/>
                <w:lang w:val="en-US"/>
              </w:rPr>
              <w:t>II</w:t>
            </w:r>
            <w:r w:rsidR="003000AF" w:rsidRPr="00677345">
              <w:rPr>
                <w:rStyle w:val="Hyperlink"/>
                <w:rFonts w:eastAsia="Calibri" w:cstheme="minorHAnsi"/>
                <w:i/>
                <w:noProof/>
                <w:color w:val="365F91" w:themeColor="accent1" w:themeShade="BF"/>
              </w:rPr>
              <w:t>.</w:t>
            </w:r>
            <w:r w:rsidR="003000AF" w:rsidRPr="00677345">
              <w:rPr>
                <w:rStyle w:val="Hyperlink"/>
                <w:rFonts w:eastAsia="Calibri" w:cstheme="minorHAnsi"/>
                <w:i/>
                <w:noProof/>
                <w:color w:val="365F91" w:themeColor="accent1" w:themeShade="BF"/>
                <w:lang w:val="en-US"/>
              </w:rPr>
              <w:t xml:space="preserve"> </w:t>
            </w:r>
            <w:r w:rsidR="003000AF" w:rsidRPr="00677345">
              <w:rPr>
                <w:rStyle w:val="Hyperlink"/>
                <w:rFonts w:eastAsia="Calibri" w:cstheme="minorHAnsi"/>
                <w:i/>
                <w:noProof/>
                <w:color w:val="365F91" w:themeColor="accent1" w:themeShade="BF"/>
              </w:rPr>
              <w:t>Развитие на дейността</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_Toc480984576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4</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7" w:history="1">
            <w:r w:rsidR="003000AF" w:rsidRPr="00677345">
              <w:rPr>
                <w:rStyle w:val="Hyperlink"/>
                <w:rFonts w:cstheme="minorHAnsi"/>
                <w:i/>
                <w:noProof/>
                <w:color w:val="365F91" w:themeColor="accent1" w:themeShade="BF"/>
                <w:lang w:eastAsia="en-US"/>
              </w:rPr>
              <w:t>1. Преглед основните рискове</w:t>
            </w:r>
            <w:r w:rsidR="003000AF" w:rsidRPr="00677345">
              <w:rPr>
                <w:rStyle w:val="Hyperlink"/>
                <w:rFonts w:cstheme="minorHAnsi"/>
                <w:i/>
                <w:noProof/>
                <w:color w:val="365F91" w:themeColor="accent1" w:themeShade="BF"/>
                <w:lang w:val="en-US" w:eastAsia="en-US"/>
              </w:rPr>
              <w:t>,</w:t>
            </w:r>
            <w:r w:rsidR="003000AF" w:rsidRPr="00677345">
              <w:rPr>
                <w:rStyle w:val="Hyperlink"/>
                <w:rFonts w:cstheme="minorHAnsi"/>
                <w:i/>
                <w:noProof/>
                <w:color w:val="365F91" w:themeColor="accent1" w:themeShade="BF"/>
                <w:lang w:eastAsia="en-US"/>
              </w:rPr>
              <w:t xml:space="preserve"> пред които е изправено Дружеството</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_Toc480984577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4</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8" w:history="1">
            <w:r w:rsidR="003000AF" w:rsidRPr="00677345">
              <w:rPr>
                <w:rStyle w:val="Hyperlink"/>
                <w:rFonts w:cstheme="minorHAnsi"/>
                <w:i/>
                <w:noProof/>
                <w:color w:val="365F91" w:themeColor="accent1" w:themeShade="BF"/>
              </w:rPr>
              <w:t>2. Преглед на дейността</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_Toc480984578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6</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79" w:history="1">
            <w:r w:rsidR="003000AF" w:rsidRPr="00677345">
              <w:rPr>
                <w:rStyle w:val="Hyperlink"/>
                <w:rFonts w:eastAsia="Calibri"/>
                <w:i/>
                <w:noProof/>
                <w:color w:val="365F91" w:themeColor="accent1" w:themeShade="BF"/>
                <w:lang w:eastAsia="en-US"/>
              </w:rPr>
              <w:t>3. Нови разработки и продукти</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_Toc480984579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16</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80" w:history="1">
            <w:r w:rsidR="003000AF" w:rsidRPr="00677345">
              <w:rPr>
                <w:rStyle w:val="Hyperlink"/>
                <w:rFonts w:cstheme="minorHAnsi"/>
                <w:i/>
                <w:noProof/>
                <w:color w:val="365F91" w:themeColor="accent1" w:themeShade="BF"/>
              </w:rPr>
              <w:t>4. Значителни събития</w:t>
            </w:r>
            <w:r w:rsidR="003000AF" w:rsidRPr="00677345">
              <w:rPr>
                <w:rStyle w:val="Hyperlink"/>
                <w:rFonts w:cstheme="minorHAnsi"/>
                <w:i/>
                <w:noProof/>
                <w:color w:val="365F91" w:themeColor="accent1" w:themeShade="BF"/>
                <w:lang w:val="en-US"/>
              </w:rPr>
              <w:t xml:space="preserve"> през първо </w:t>
            </w:r>
            <w:r w:rsidR="008B1BC1">
              <w:rPr>
                <w:rStyle w:val="Hyperlink"/>
                <w:rFonts w:cstheme="minorHAnsi"/>
                <w:i/>
                <w:noProof/>
                <w:color w:val="365F91" w:themeColor="accent1" w:themeShade="BF"/>
              </w:rPr>
              <w:t>полугодие</w:t>
            </w:r>
            <w:r w:rsidR="003000AF" w:rsidRPr="00677345">
              <w:rPr>
                <w:rStyle w:val="Hyperlink"/>
                <w:rFonts w:cstheme="minorHAnsi"/>
                <w:i/>
                <w:noProof/>
                <w:color w:val="365F91" w:themeColor="accent1" w:themeShade="BF"/>
                <w:lang w:val="en-US"/>
              </w:rPr>
              <w:t xml:space="preserve"> 2017 г</w:t>
            </w:r>
            <w:r w:rsidR="003000AF" w:rsidRPr="00677345">
              <w:rPr>
                <w:rStyle w:val="Hyperlink"/>
                <w:rFonts w:cstheme="minorHAnsi"/>
                <w:i/>
                <w:noProof/>
                <w:color w:val="365F91" w:themeColor="accent1" w:themeShade="BF"/>
              </w:rPr>
              <w:t>одина и до публикуване на междинния доклад за дейността</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_Toc480984580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16</w:t>
            </w:r>
            <w:r w:rsidR="003000AF" w:rsidRPr="00677345">
              <w:rPr>
                <w:i/>
                <w:noProof/>
                <w:webHidden/>
                <w:color w:val="365F91" w:themeColor="accent1" w:themeShade="BF"/>
              </w:rPr>
              <w:fldChar w:fldCharType="end"/>
            </w:r>
          </w:hyperlink>
        </w:p>
        <w:p w:rsidR="003000AF" w:rsidRPr="00677345" w:rsidRDefault="007B005B">
          <w:pPr>
            <w:pStyle w:val="TOC2"/>
            <w:tabs>
              <w:tab w:val="right" w:leader="dot" w:pos="9372"/>
            </w:tabs>
            <w:rPr>
              <w:rFonts w:asciiTheme="minorHAnsi" w:eastAsiaTheme="minorEastAsia" w:hAnsiTheme="minorHAnsi" w:cstheme="minorBidi"/>
              <w:i/>
              <w:noProof/>
              <w:color w:val="365F91" w:themeColor="accent1" w:themeShade="BF"/>
              <w:lang w:val="en-US" w:eastAsia="en-US"/>
            </w:rPr>
          </w:pPr>
          <w:hyperlink w:anchor="_Toc480984581" w:history="1">
            <w:r w:rsidR="003000AF" w:rsidRPr="00677345">
              <w:rPr>
                <w:rStyle w:val="Hyperlink"/>
                <w:rFonts w:eastAsia="Calibri"/>
                <w:i/>
                <w:noProof/>
                <w:color w:val="365F91" w:themeColor="accent1" w:themeShade="BF"/>
                <w:lang w:val="en-US"/>
              </w:rPr>
              <w:t>5</w:t>
            </w:r>
            <w:r w:rsidR="003000AF" w:rsidRPr="00677345">
              <w:rPr>
                <w:rStyle w:val="Hyperlink"/>
                <w:rFonts w:eastAsia="Calibri"/>
                <w:i/>
                <w:noProof/>
                <w:color w:val="365F91" w:themeColor="accent1" w:themeShade="BF"/>
              </w:rPr>
              <w:t>. Информация за сделки със свързани лица</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_Toc480984581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20</w:t>
            </w:r>
            <w:r w:rsidR="003000AF" w:rsidRPr="00677345">
              <w:rPr>
                <w:i/>
                <w:noProof/>
                <w:webHidden/>
                <w:color w:val="365F91" w:themeColor="accent1" w:themeShade="BF"/>
              </w:rPr>
              <w:fldChar w:fldCharType="end"/>
            </w:r>
          </w:hyperlink>
        </w:p>
        <w:p w:rsidR="003000AF" w:rsidRDefault="007B005B" w:rsidP="00677345">
          <w:pPr>
            <w:pStyle w:val="TOC2"/>
            <w:tabs>
              <w:tab w:val="right" w:leader="dot" w:pos="9372"/>
            </w:tabs>
            <w:ind w:left="0"/>
            <w:rPr>
              <w:rFonts w:asciiTheme="minorHAnsi" w:eastAsiaTheme="minorEastAsia" w:hAnsiTheme="minorHAnsi" w:cstheme="minorBidi"/>
              <w:noProof/>
              <w:lang w:val="en-US" w:eastAsia="en-US"/>
            </w:rPr>
          </w:pPr>
          <w:hyperlink w:anchor="_Toc480984582" w:history="1">
            <w:r w:rsidR="003000AF" w:rsidRPr="00677345">
              <w:rPr>
                <w:rStyle w:val="Hyperlink"/>
                <w:rFonts w:eastAsia="Calibri"/>
                <w:i/>
                <w:noProof/>
                <w:color w:val="365F91" w:themeColor="accent1" w:themeShade="BF"/>
                <w:lang w:val="en-US"/>
              </w:rPr>
              <w:t>III</w:t>
            </w:r>
            <w:r w:rsidR="003000AF" w:rsidRPr="00677345">
              <w:rPr>
                <w:rStyle w:val="Hyperlink"/>
                <w:rFonts w:eastAsia="Calibri"/>
                <w:i/>
                <w:noProof/>
                <w:color w:val="365F91" w:themeColor="accent1" w:themeShade="BF"/>
              </w:rPr>
              <w:t>. Информация за акциите на Софарма АД</w:t>
            </w:r>
            <w:r w:rsidR="003000AF" w:rsidRPr="00677345">
              <w:rPr>
                <w:i/>
                <w:noProof/>
                <w:webHidden/>
                <w:color w:val="365F91" w:themeColor="accent1" w:themeShade="BF"/>
              </w:rPr>
              <w:tab/>
            </w:r>
            <w:r w:rsidR="003000AF" w:rsidRPr="00677345">
              <w:rPr>
                <w:i/>
                <w:noProof/>
                <w:webHidden/>
                <w:color w:val="365F91" w:themeColor="accent1" w:themeShade="BF"/>
              </w:rPr>
              <w:fldChar w:fldCharType="begin"/>
            </w:r>
            <w:r w:rsidR="003000AF" w:rsidRPr="00677345">
              <w:rPr>
                <w:i/>
                <w:noProof/>
                <w:webHidden/>
                <w:color w:val="365F91" w:themeColor="accent1" w:themeShade="BF"/>
              </w:rPr>
              <w:instrText xml:space="preserve"> PAGEREF _Toc480984582 \h </w:instrText>
            </w:r>
            <w:r w:rsidR="003000AF" w:rsidRPr="00677345">
              <w:rPr>
                <w:i/>
                <w:noProof/>
                <w:webHidden/>
                <w:color w:val="365F91" w:themeColor="accent1" w:themeShade="BF"/>
              </w:rPr>
            </w:r>
            <w:r w:rsidR="003000AF" w:rsidRPr="00677345">
              <w:rPr>
                <w:i/>
                <w:noProof/>
                <w:webHidden/>
                <w:color w:val="365F91" w:themeColor="accent1" w:themeShade="BF"/>
              </w:rPr>
              <w:fldChar w:fldCharType="separate"/>
            </w:r>
            <w:r w:rsidR="00DB7BB6">
              <w:rPr>
                <w:i/>
                <w:noProof/>
                <w:webHidden/>
                <w:color w:val="365F91" w:themeColor="accent1" w:themeShade="BF"/>
              </w:rPr>
              <w:t>20</w:t>
            </w:r>
            <w:r w:rsidR="003000AF" w:rsidRPr="00677345">
              <w:rPr>
                <w:i/>
                <w:noProof/>
                <w:webHidden/>
                <w:color w:val="365F91" w:themeColor="accent1" w:themeShade="BF"/>
              </w:rPr>
              <w:fldChar w:fldCharType="end"/>
            </w:r>
          </w:hyperlink>
        </w:p>
        <w:p w:rsidR="00D241D6" w:rsidRDefault="00D241D6" w:rsidP="00D241D6">
          <w:pPr>
            <w:pStyle w:val="Heading2"/>
            <w:tabs>
              <w:tab w:val="left" w:pos="4005"/>
            </w:tabs>
          </w:pPr>
          <w:r w:rsidRPr="0020695F">
            <w:rPr>
              <w:i/>
              <w:noProof/>
              <w:color w:val="365F91" w:themeColor="accent1" w:themeShade="BF"/>
            </w:rPr>
            <w:fldChar w:fldCharType="end"/>
          </w:r>
          <w:r>
            <w:rPr>
              <w:noProof/>
            </w:rPr>
            <w:tab/>
          </w:r>
        </w:p>
      </w:sdtContent>
    </w:sdt>
    <w:p w:rsidR="00ED767E" w:rsidRDefault="00ED767E" w:rsidP="00ED767E">
      <w:pPr>
        <w:widowControl w:val="0"/>
        <w:autoSpaceDE w:val="0"/>
        <w:autoSpaceDN w:val="0"/>
        <w:adjustRightInd w:val="0"/>
        <w:spacing w:after="0" w:line="240" w:lineRule="auto"/>
        <w:jc w:val="both"/>
        <w:rPr>
          <w:rFonts w:asciiTheme="minorHAnsi" w:eastAsiaTheme="minorEastAsia" w:hAnsiTheme="minorHAnsi"/>
          <w:sz w:val="24"/>
          <w:szCs w:val="24"/>
        </w:rPr>
      </w:pPr>
    </w:p>
    <w:p w:rsidR="00DB0FBB" w:rsidRPr="00F524AE" w:rsidRDefault="00DB0FBB" w:rsidP="00C37B12">
      <w:pPr>
        <w:shd w:val="clear" w:color="auto" w:fill="FFFFFF" w:themeFill="background1"/>
        <w:spacing w:after="0" w:line="240" w:lineRule="auto"/>
        <w:rPr>
          <w:rFonts w:eastAsia="Calibri" w:cs="Calibri"/>
          <w:b/>
          <w:i/>
          <w:color w:val="1F497D"/>
          <w:sz w:val="24"/>
          <w:szCs w:val="24"/>
        </w:rPr>
      </w:pPr>
      <w:r w:rsidRPr="00F524AE">
        <w:rPr>
          <w:rFonts w:eastAsia="Calibri" w:cs="Calibri"/>
          <w:b/>
          <w:i/>
          <w:color w:val="1F497D"/>
          <w:sz w:val="24"/>
          <w:szCs w:val="24"/>
        </w:rPr>
        <w:br w:type="page"/>
      </w:r>
    </w:p>
    <w:p w:rsidR="00E8183A" w:rsidRDefault="002657DA" w:rsidP="001B413B">
      <w:pPr>
        <w:pStyle w:val="Heading1"/>
        <w:numPr>
          <w:ilvl w:val="0"/>
          <w:numId w:val="49"/>
        </w:numPr>
        <w:tabs>
          <w:tab w:val="left" w:pos="284"/>
        </w:tabs>
        <w:ind w:left="0" w:firstLine="0"/>
        <w:rPr>
          <w:rFonts w:asciiTheme="minorHAnsi" w:eastAsia="Calibri" w:hAnsiTheme="minorHAnsi" w:cstheme="minorHAnsi"/>
          <w:b/>
          <w:sz w:val="28"/>
          <w:szCs w:val="28"/>
        </w:rPr>
      </w:pPr>
      <w:bookmarkStart w:id="0" w:name="_Toc480984569"/>
      <w:r w:rsidRPr="001B413B">
        <w:rPr>
          <w:rFonts w:asciiTheme="minorHAnsi" w:eastAsia="Calibri" w:hAnsiTheme="minorHAnsi" w:cstheme="minorHAnsi"/>
          <w:b/>
          <w:sz w:val="28"/>
          <w:szCs w:val="28"/>
        </w:rPr>
        <w:lastRenderedPageBreak/>
        <w:t>Обща информация за Софарма АД</w:t>
      </w:r>
      <w:bookmarkEnd w:id="0"/>
    </w:p>
    <w:p w:rsidR="001A4B1B" w:rsidRPr="001B413B" w:rsidRDefault="001A4B1B" w:rsidP="001B413B"/>
    <w:p w:rsidR="00B1031E" w:rsidRPr="001B413B" w:rsidRDefault="00B1031E" w:rsidP="00B1031E">
      <w:pPr>
        <w:pStyle w:val="Heading2"/>
        <w:rPr>
          <w:rFonts w:asciiTheme="minorHAnsi" w:eastAsia="Calibri" w:hAnsiTheme="minorHAnsi" w:cstheme="minorHAnsi"/>
          <w:b/>
          <w:color w:val="365F91" w:themeColor="accent1" w:themeShade="BF"/>
          <w:sz w:val="24"/>
          <w:szCs w:val="24"/>
        </w:rPr>
      </w:pPr>
      <w:bookmarkStart w:id="1" w:name="_Toc480984570"/>
      <w:r w:rsidRPr="001B413B">
        <w:rPr>
          <w:rFonts w:asciiTheme="minorHAnsi" w:eastAsia="Calibri" w:hAnsiTheme="minorHAnsi" w:cstheme="minorHAnsi"/>
          <w:b/>
          <w:color w:val="365F91" w:themeColor="accent1" w:themeShade="BF"/>
          <w:sz w:val="24"/>
          <w:szCs w:val="24"/>
        </w:rPr>
        <w:t>1. Регистрация и предмет на дейност</w:t>
      </w:r>
      <w:bookmarkEnd w:id="1"/>
    </w:p>
    <w:p w:rsidR="00E8183A" w:rsidRPr="00AE6DEE" w:rsidRDefault="002657DA" w:rsidP="001B413B">
      <w:pPr>
        <w:suppressAutoHyphens/>
        <w:autoSpaceDN w:val="0"/>
        <w:spacing w:before="40" w:after="40" w:line="240" w:lineRule="auto"/>
        <w:ind w:firstLine="720"/>
        <w:jc w:val="both"/>
        <w:textAlignment w:val="baseline"/>
        <w:rPr>
          <w:rFonts w:eastAsia="Calibri" w:cs="Calibri"/>
          <w:sz w:val="24"/>
          <w:szCs w:val="24"/>
        </w:rPr>
      </w:pPr>
      <w:r>
        <w:rPr>
          <w:rFonts w:eastAsia="Calibri" w:cs="Calibri"/>
          <w:sz w:val="24"/>
          <w:szCs w:val="24"/>
        </w:rPr>
        <w:t>Софарма АД (Дружеството) е търговско предприятие, регистрирано в България по ТЗ, със седалище и адрес на управление гр. София, ул. Илиенско шосе №16</w:t>
      </w:r>
    </w:p>
    <w:p w:rsidR="00E8183A" w:rsidRPr="00AE6DEE" w:rsidRDefault="002657DA" w:rsidP="00E8183A">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Софарма АД води началото си от 1933 г. Съдебната регистрация на дружеството е от 15.11.1991 г., решение №1/1991 г. на Софийски градски съд. Софарма АД е публично дружество съгласно Закона за публично предлагане на ценни книжа.</w:t>
      </w:r>
    </w:p>
    <w:p w:rsidR="00E8183A" w:rsidRPr="00AE6DEE" w:rsidRDefault="002657DA" w:rsidP="00E8183A">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Дружеството извършва производство и търговия на лекарствени субстанции и лекарствени форми; научно-изследователска и инженерно-внедрителска дейност в областта на фитохимията, химията и фармацията. Софарма АД извършва услуги, както с производствено предназначение, така и свързани със спомагателната и обслужващата си дейност.</w:t>
      </w:r>
    </w:p>
    <w:p w:rsidR="00E8183A" w:rsidRPr="00AE6DEE" w:rsidRDefault="002657DA" w:rsidP="00E8183A">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Дружеството притежава разрешения за употреба по реда на ЗЛАХМ за всички продукти от производствената си номенклатура. </w:t>
      </w:r>
    </w:p>
    <w:p w:rsidR="00E8183A" w:rsidRPr="00AE6DEE" w:rsidRDefault="00E8183A" w:rsidP="00E8183A">
      <w:pPr>
        <w:suppressAutoHyphens/>
        <w:autoSpaceDN w:val="0"/>
        <w:spacing w:before="40" w:after="40" w:line="240" w:lineRule="auto"/>
        <w:jc w:val="both"/>
        <w:textAlignment w:val="baseline"/>
        <w:rPr>
          <w:rFonts w:eastAsia="Calibri" w:cs="Calibri"/>
          <w:b/>
          <w:sz w:val="24"/>
          <w:szCs w:val="24"/>
        </w:rPr>
      </w:pPr>
    </w:p>
    <w:p w:rsidR="00E8183A" w:rsidRDefault="00B01B27" w:rsidP="00B1031E">
      <w:pPr>
        <w:pStyle w:val="Heading2"/>
        <w:rPr>
          <w:rFonts w:asciiTheme="minorHAnsi" w:eastAsia="Calibri" w:hAnsiTheme="minorHAnsi" w:cstheme="minorHAnsi"/>
          <w:b/>
          <w:color w:val="365F91" w:themeColor="accent1" w:themeShade="BF"/>
          <w:sz w:val="24"/>
          <w:szCs w:val="24"/>
        </w:rPr>
      </w:pPr>
      <w:bookmarkStart w:id="2" w:name="_Toc480984571"/>
      <w:r w:rsidRPr="001B413B">
        <w:rPr>
          <w:rFonts w:asciiTheme="minorHAnsi" w:eastAsia="Calibri" w:hAnsiTheme="minorHAnsi" w:cstheme="minorHAnsi"/>
          <w:b/>
          <w:color w:val="365F91" w:themeColor="accent1" w:themeShade="BF"/>
          <w:sz w:val="24"/>
          <w:szCs w:val="24"/>
        </w:rPr>
        <w:t xml:space="preserve">2. </w:t>
      </w:r>
      <w:r w:rsidR="002657DA" w:rsidRPr="001B413B">
        <w:rPr>
          <w:rFonts w:asciiTheme="minorHAnsi" w:eastAsia="Calibri" w:hAnsiTheme="minorHAnsi" w:cstheme="minorHAnsi"/>
          <w:b/>
          <w:color w:val="365F91" w:themeColor="accent1" w:themeShade="BF"/>
          <w:sz w:val="24"/>
          <w:szCs w:val="24"/>
        </w:rPr>
        <w:t xml:space="preserve">Акционерна структура към </w:t>
      </w:r>
      <w:r w:rsidR="00F0715D">
        <w:rPr>
          <w:rFonts w:asciiTheme="minorHAnsi" w:eastAsia="Calibri" w:hAnsiTheme="minorHAnsi" w:cstheme="minorHAnsi"/>
          <w:b/>
          <w:color w:val="365F91" w:themeColor="accent1" w:themeShade="BF"/>
          <w:sz w:val="24"/>
          <w:szCs w:val="24"/>
        </w:rPr>
        <w:t>30</w:t>
      </w:r>
      <w:r w:rsidR="00697965" w:rsidRPr="001B413B">
        <w:rPr>
          <w:rFonts w:asciiTheme="minorHAnsi" w:eastAsia="Calibri" w:hAnsiTheme="minorHAnsi" w:cstheme="minorHAnsi"/>
          <w:b/>
          <w:color w:val="365F91" w:themeColor="accent1" w:themeShade="BF"/>
          <w:sz w:val="24"/>
          <w:szCs w:val="24"/>
        </w:rPr>
        <w:t>.</w:t>
      </w:r>
      <w:r w:rsidR="00F0715D">
        <w:rPr>
          <w:rFonts w:asciiTheme="minorHAnsi" w:eastAsia="Calibri" w:hAnsiTheme="minorHAnsi" w:cstheme="minorHAnsi"/>
          <w:b/>
          <w:color w:val="365F91" w:themeColor="accent1" w:themeShade="BF"/>
          <w:sz w:val="24"/>
          <w:szCs w:val="24"/>
        </w:rPr>
        <w:t>06</w:t>
      </w:r>
      <w:r w:rsidR="00B900CD" w:rsidRPr="001B413B">
        <w:rPr>
          <w:rFonts w:asciiTheme="minorHAnsi" w:eastAsia="Calibri" w:hAnsiTheme="minorHAnsi" w:cstheme="minorHAnsi"/>
          <w:b/>
          <w:color w:val="365F91" w:themeColor="accent1" w:themeShade="BF"/>
          <w:sz w:val="24"/>
          <w:szCs w:val="24"/>
        </w:rPr>
        <w:t>.</w:t>
      </w:r>
      <w:r w:rsidR="00CF583D" w:rsidRPr="001B413B">
        <w:rPr>
          <w:rFonts w:asciiTheme="minorHAnsi" w:eastAsia="Calibri" w:hAnsiTheme="minorHAnsi" w:cstheme="minorHAnsi"/>
          <w:b/>
          <w:color w:val="365F91" w:themeColor="accent1" w:themeShade="BF"/>
          <w:sz w:val="24"/>
          <w:szCs w:val="24"/>
        </w:rPr>
        <w:t>201</w:t>
      </w:r>
      <w:r w:rsidR="00F80195">
        <w:rPr>
          <w:rFonts w:asciiTheme="minorHAnsi" w:eastAsia="Calibri" w:hAnsiTheme="minorHAnsi" w:cstheme="minorHAnsi"/>
          <w:b/>
          <w:color w:val="365F91" w:themeColor="accent1" w:themeShade="BF"/>
          <w:sz w:val="24"/>
          <w:szCs w:val="24"/>
        </w:rPr>
        <w:t>7</w:t>
      </w:r>
      <w:r w:rsidR="00CF583D" w:rsidRPr="001B413B">
        <w:rPr>
          <w:rFonts w:asciiTheme="minorHAnsi" w:eastAsia="Calibri" w:hAnsiTheme="minorHAnsi" w:cstheme="minorHAnsi"/>
          <w:b/>
          <w:color w:val="365F91" w:themeColor="accent1" w:themeShade="BF"/>
          <w:sz w:val="24"/>
          <w:szCs w:val="24"/>
        </w:rPr>
        <w:t xml:space="preserve"> </w:t>
      </w:r>
      <w:r w:rsidR="002657DA" w:rsidRPr="001B413B">
        <w:rPr>
          <w:rFonts w:asciiTheme="minorHAnsi" w:eastAsia="Calibri" w:hAnsiTheme="minorHAnsi" w:cstheme="minorHAnsi"/>
          <w:b/>
          <w:color w:val="365F91" w:themeColor="accent1" w:themeShade="BF"/>
          <w:sz w:val="24"/>
          <w:szCs w:val="24"/>
        </w:rPr>
        <w:t>г.</w:t>
      </w:r>
      <w:bookmarkEnd w:id="2"/>
    </w:p>
    <w:p w:rsidR="00F0715D" w:rsidRDefault="00F0715D" w:rsidP="0020695F">
      <w:pPr>
        <w:rPr>
          <w:rFonts w:asciiTheme="minorHAnsi" w:eastAsia="Calibri" w:hAnsiTheme="minorHAnsi" w:cstheme="minorHAnsi"/>
          <w:b/>
          <w:color w:val="365F91" w:themeColor="accent1" w:themeShade="BF"/>
          <w:sz w:val="24"/>
          <w:szCs w:val="24"/>
        </w:rPr>
      </w:pPr>
    </w:p>
    <w:p w:rsidR="00F0715D" w:rsidRDefault="00F0715D" w:rsidP="0020695F">
      <w:pPr>
        <w:rPr>
          <w:rFonts w:asciiTheme="minorHAnsi" w:eastAsia="Calibri" w:hAnsiTheme="minorHAnsi" w:cstheme="minorHAnsi"/>
          <w:b/>
          <w:color w:val="365F91" w:themeColor="accent1" w:themeShade="BF"/>
          <w:sz w:val="24"/>
          <w:szCs w:val="24"/>
        </w:rPr>
      </w:pPr>
      <w:r>
        <w:rPr>
          <w:noProof/>
        </w:rPr>
        <w:drawing>
          <wp:inline distT="0" distB="0" distL="0" distR="0" wp14:anchorId="2FA86949" wp14:editId="6ADBD9DA">
            <wp:extent cx="5905500" cy="2219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715D" w:rsidRPr="001B413B" w:rsidRDefault="00F0715D" w:rsidP="0020695F">
      <w:pPr>
        <w:rPr>
          <w:rFonts w:asciiTheme="minorHAnsi" w:eastAsia="Calibri" w:hAnsiTheme="minorHAnsi" w:cstheme="minorHAnsi"/>
          <w:b/>
          <w:color w:val="365F91" w:themeColor="accent1" w:themeShade="BF"/>
          <w:sz w:val="24"/>
          <w:szCs w:val="24"/>
        </w:rPr>
      </w:pPr>
    </w:p>
    <w:p w:rsidR="00E8183A" w:rsidRPr="001B413B" w:rsidRDefault="00EF7F1D" w:rsidP="00B1031E">
      <w:pPr>
        <w:pStyle w:val="Heading2"/>
        <w:rPr>
          <w:rFonts w:asciiTheme="minorHAnsi" w:eastAsia="Calibri" w:hAnsiTheme="minorHAnsi" w:cstheme="minorHAnsi"/>
          <w:b/>
          <w:color w:val="365F91" w:themeColor="accent1" w:themeShade="BF"/>
          <w:sz w:val="24"/>
          <w:szCs w:val="24"/>
        </w:rPr>
      </w:pPr>
      <w:r w:rsidRPr="00EF7F1D" w:rsidDel="00EF7F1D">
        <w:rPr>
          <w:rFonts w:eastAsia="Calibri" w:cs="Calibri"/>
          <w:b/>
          <w:color w:val="1F497D"/>
          <w:sz w:val="24"/>
          <w:szCs w:val="24"/>
        </w:rPr>
        <w:t xml:space="preserve"> </w:t>
      </w:r>
      <w:bookmarkStart w:id="3" w:name="_Toc480984572"/>
      <w:r w:rsidR="00B01B27" w:rsidRPr="001B413B">
        <w:rPr>
          <w:rFonts w:asciiTheme="minorHAnsi" w:eastAsia="Calibri" w:hAnsiTheme="minorHAnsi" w:cstheme="minorHAnsi"/>
          <w:b/>
          <w:color w:val="365F91" w:themeColor="accent1" w:themeShade="BF"/>
          <w:sz w:val="24"/>
          <w:szCs w:val="24"/>
        </w:rPr>
        <w:t xml:space="preserve">3. </w:t>
      </w:r>
      <w:r w:rsidR="00E8183A" w:rsidRPr="001B413B">
        <w:rPr>
          <w:rFonts w:asciiTheme="minorHAnsi" w:eastAsia="Calibri" w:hAnsiTheme="minorHAnsi" w:cstheme="minorHAnsi"/>
          <w:b/>
          <w:color w:val="365F91" w:themeColor="accent1" w:themeShade="BF"/>
          <w:sz w:val="24"/>
          <w:szCs w:val="24"/>
        </w:rPr>
        <w:t>Съвет на директорите</w:t>
      </w:r>
      <w:bookmarkEnd w:id="3"/>
    </w:p>
    <w:p w:rsidR="00E8183A" w:rsidRPr="00EC0C5B" w:rsidRDefault="002657DA" w:rsidP="001B413B">
      <w:pPr>
        <w:suppressAutoHyphens/>
        <w:autoSpaceDN w:val="0"/>
        <w:spacing w:before="40" w:after="40" w:line="240" w:lineRule="auto"/>
        <w:ind w:firstLine="720"/>
        <w:jc w:val="both"/>
        <w:textAlignment w:val="baseline"/>
        <w:rPr>
          <w:rFonts w:eastAsia="Calibri" w:cs="Calibri"/>
          <w:sz w:val="24"/>
          <w:szCs w:val="24"/>
          <w:lang w:val="ru-RU"/>
        </w:rPr>
      </w:pPr>
      <w:r>
        <w:rPr>
          <w:rFonts w:eastAsia="Calibri" w:cs="Calibri"/>
          <w:sz w:val="24"/>
          <w:szCs w:val="24"/>
        </w:rPr>
        <w:t>Софарма АД има едностепенна система на управление със Съвет на директорите от петима членове както следва: д.и.н. Огнян Донев - Председател и членове Весела Стоева, Огнян Палавеев, Александър Чаушев, Андрей Брешков. Дружеството се представлява и управлява от изпълнителния директор д.и.н. Огнян Донев.</w:t>
      </w:r>
    </w:p>
    <w:p w:rsidR="00F73779" w:rsidRDefault="00F73779" w:rsidP="00E8183A">
      <w:pPr>
        <w:suppressAutoHyphens/>
        <w:autoSpaceDN w:val="0"/>
        <w:spacing w:before="40" w:after="40" w:line="240" w:lineRule="auto"/>
        <w:jc w:val="both"/>
        <w:textAlignment w:val="baseline"/>
        <w:rPr>
          <w:rFonts w:eastAsia="Calibri" w:cs="Calibri"/>
          <w:sz w:val="24"/>
          <w:szCs w:val="24"/>
          <w:lang w:val="ru-RU"/>
        </w:rPr>
      </w:pPr>
    </w:p>
    <w:p w:rsidR="00927E68" w:rsidRPr="00677345" w:rsidRDefault="00927E68" w:rsidP="00677345">
      <w:pPr>
        <w:pStyle w:val="Heading2"/>
        <w:rPr>
          <w:rFonts w:asciiTheme="minorHAnsi" w:eastAsia="Calibri" w:hAnsiTheme="minorHAnsi"/>
          <w:b/>
          <w:color w:val="365F91" w:themeColor="accent1" w:themeShade="BF"/>
          <w:sz w:val="24"/>
          <w:szCs w:val="24"/>
        </w:rPr>
      </w:pPr>
      <w:bookmarkStart w:id="4" w:name="_Toc480984573"/>
      <w:r w:rsidRPr="00677345">
        <w:rPr>
          <w:rFonts w:asciiTheme="minorHAnsi" w:eastAsia="Calibri" w:hAnsiTheme="minorHAnsi"/>
          <w:b/>
          <w:color w:val="365F91" w:themeColor="accent1" w:themeShade="BF"/>
          <w:sz w:val="24"/>
          <w:szCs w:val="24"/>
        </w:rPr>
        <w:lastRenderedPageBreak/>
        <w:t xml:space="preserve">4. </w:t>
      </w:r>
      <w:r w:rsidRPr="00677345">
        <w:rPr>
          <w:rFonts w:asciiTheme="minorHAnsi" w:eastAsia="Calibri" w:hAnsiTheme="minorHAnsi"/>
          <w:b/>
          <w:color w:val="365F91" w:themeColor="accent1" w:themeShade="BF"/>
          <w:sz w:val="24"/>
          <w:szCs w:val="24"/>
          <w:lang w:val="en-US"/>
        </w:rPr>
        <w:t>Персонал</w:t>
      </w:r>
      <w:bookmarkEnd w:id="4"/>
    </w:p>
    <w:p w:rsidR="00927E68" w:rsidRDefault="00927E68" w:rsidP="00927E68">
      <w:pPr>
        <w:tabs>
          <w:tab w:val="left" w:pos="9214"/>
        </w:tabs>
        <w:suppressAutoHyphens/>
        <w:autoSpaceDN w:val="0"/>
        <w:spacing w:before="40" w:after="40" w:line="240" w:lineRule="auto"/>
        <w:jc w:val="both"/>
        <w:textAlignment w:val="baseline"/>
        <w:rPr>
          <w:rFonts w:eastAsia="Calibri" w:cs="Calibri"/>
          <w:sz w:val="24"/>
          <w:szCs w:val="24"/>
          <w:lang w:val="en-US"/>
        </w:rPr>
      </w:pPr>
      <w:r>
        <w:rPr>
          <w:rFonts w:eastAsia="Calibri" w:cs="Calibri"/>
          <w:sz w:val="24"/>
          <w:szCs w:val="24"/>
          <w:lang w:val="en-US"/>
        </w:rPr>
        <w:t xml:space="preserve">          </w:t>
      </w:r>
      <w:r>
        <w:rPr>
          <w:rFonts w:eastAsia="Calibri" w:cs="Calibri"/>
          <w:sz w:val="24"/>
          <w:szCs w:val="24"/>
        </w:rPr>
        <w:t xml:space="preserve">Средно-списъчният брой на служителите за 2017 г. в Софарма АД </w:t>
      </w:r>
      <w:r w:rsidRPr="008A1F43">
        <w:rPr>
          <w:rFonts w:eastAsia="Calibri" w:cs="Calibri"/>
          <w:sz w:val="24"/>
          <w:szCs w:val="24"/>
        </w:rPr>
        <w:t xml:space="preserve">е </w:t>
      </w:r>
      <w:r w:rsidRPr="008A1F43">
        <w:rPr>
          <w:rFonts w:eastAsia="Calibri" w:cs="Calibri"/>
          <w:sz w:val="24"/>
          <w:szCs w:val="24"/>
          <w:lang w:val="en-US"/>
        </w:rPr>
        <w:t>1 8</w:t>
      </w:r>
      <w:r w:rsidR="00301781">
        <w:rPr>
          <w:rFonts w:eastAsia="Calibri" w:cs="Calibri"/>
          <w:sz w:val="24"/>
          <w:szCs w:val="24"/>
        </w:rPr>
        <w:t>60</w:t>
      </w:r>
      <w:r w:rsidRPr="008A1F43">
        <w:rPr>
          <w:rFonts w:eastAsia="Calibri" w:cs="Calibri"/>
          <w:sz w:val="24"/>
          <w:szCs w:val="24"/>
          <w:lang w:val="ru-RU"/>
        </w:rPr>
        <w:t xml:space="preserve"> </w:t>
      </w:r>
      <w:r>
        <w:rPr>
          <w:rFonts w:eastAsia="Calibri" w:cs="Calibri"/>
          <w:sz w:val="24"/>
          <w:szCs w:val="24"/>
          <w:lang w:val="ru-RU"/>
        </w:rPr>
        <w:t>работници и сл</w:t>
      </w:r>
      <w:r w:rsidR="00D22F20">
        <w:rPr>
          <w:rFonts w:eastAsia="Calibri" w:cs="Calibri"/>
          <w:sz w:val="24"/>
          <w:szCs w:val="24"/>
          <w:lang w:val="ru-RU"/>
        </w:rPr>
        <w:t>у</w:t>
      </w:r>
      <w:r>
        <w:rPr>
          <w:rFonts w:eastAsia="Calibri" w:cs="Calibri"/>
          <w:sz w:val="24"/>
          <w:szCs w:val="24"/>
          <w:lang w:val="ru-RU"/>
        </w:rPr>
        <w:t xml:space="preserve">жители </w:t>
      </w:r>
      <w:r w:rsidRPr="008A1F43">
        <w:rPr>
          <w:rFonts w:eastAsia="Calibri" w:cs="Calibri"/>
          <w:sz w:val="24"/>
          <w:szCs w:val="24"/>
        </w:rPr>
        <w:t>(</w:t>
      </w:r>
      <w:r>
        <w:rPr>
          <w:rFonts w:eastAsia="Calibri" w:cs="Calibri"/>
          <w:sz w:val="24"/>
          <w:szCs w:val="24"/>
        </w:rPr>
        <w:t>при 1 873 за 2016 г.). В таблицата по-долу е посочена по-детайлно информация относно персонала в дружеството.</w:t>
      </w:r>
    </w:p>
    <w:p w:rsidR="00927E68" w:rsidRPr="00B51B7E" w:rsidRDefault="00927E68" w:rsidP="00927E68">
      <w:pPr>
        <w:tabs>
          <w:tab w:val="left" w:pos="9214"/>
        </w:tabs>
        <w:suppressAutoHyphens/>
        <w:autoSpaceDN w:val="0"/>
        <w:spacing w:before="40" w:after="40" w:line="240" w:lineRule="auto"/>
        <w:jc w:val="both"/>
        <w:textAlignment w:val="baseline"/>
        <w:rPr>
          <w:rFonts w:eastAsia="Calibri" w:cs="Calibri"/>
          <w:sz w:val="24"/>
          <w:szCs w:val="24"/>
        </w:rPr>
      </w:pPr>
    </w:p>
    <w:tbl>
      <w:tblPr>
        <w:tblW w:w="9399" w:type="dxa"/>
        <w:tblInd w:w="55" w:type="dxa"/>
        <w:tblCellMar>
          <w:left w:w="0" w:type="dxa"/>
          <w:right w:w="0" w:type="dxa"/>
        </w:tblCellMar>
        <w:tblLook w:val="04A0" w:firstRow="1" w:lastRow="0" w:firstColumn="1" w:lastColumn="0" w:noHBand="0" w:noVBand="1"/>
      </w:tblPr>
      <w:tblGrid>
        <w:gridCol w:w="7103"/>
        <w:gridCol w:w="1160"/>
        <w:gridCol w:w="1136"/>
      </w:tblGrid>
      <w:tr w:rsidR="00927E68" w:rsidRPr="00B51B7E" w:rsidTr="000A0779">
        <w:trPr>
          <w:trHeight w:val="225"/>
        </w:trPr>
        <w:tc>
          <w:tcPr>
            <w:tcW w:w="7103" w:type="dxa"/>
            <w:vMerge w:val="restart"/>
            <w:tcMar>
              <w:top w:w="0" w:type="dxa"/>
              <w:left w:w="70" w:type="dxa"/>
              <w:bottom w:w="0" w:type="dxa"/>
              <w:right w:w="70" w:type="dxa"/>
            </w:tcMar>
            <w:vAlign w:val="center"/>
            <w:hideMark/>
          </w:tcPr>
          <w:p w:rsidR="00927E68" w:rsidRPr="00B51B7E" w:rsidRDefault="00927E68" w:rsidP="000A0779">
            <w:pPr>
              <w:keepNext/>
              <w:spacing w:after="0" w:line="240" w:lineRule="auto"/>
              <w:rPr>
                <w:rFonts w:eastAsia="Times New Roman"/>
              </w:rPr>
            </w:pPr>
          </w:p>
        </w:tc>
        <w:tc>
          <w:tcPr>
            <w:tcW w:w="1160" w:type="dxa"/>
            <w:shd w:val="clear" w:color="auto" w:fill="DCE6F1"/>
            <w:noWrap/>
            <w:tcMar>
              <w:top w:w="0" w:type="dxa"/>
              <w:left w:w="70" w:type="dxa"/>
              <w:bottom w:w="0" w:type="dxa"/>
              <w:right w:w="70" w:type="dxa"/>
            </w:tcMar>
            <w:vAlign w:val="bottom"/>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 </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b/>
                <w:bCs/>
                <w:sz w:val="20"/>
                <w:szCs w:val="20"/>
              </w:rPr>
            </w:pPr>
            <w:r w:rsidRPr="00B51B7E">
              <w:rPr>
                <w:rFonts w:eastAsia="Calibri"/>
                <w:b/>
                <w:bCs/>
                <w:sz w:val="20"/>
                <w:szCs w:val="20"/>
              </w:rPr>
              <w:t>отн. дял</w:t>
            </w:r>
          </w:p>
        </w:tc>
      </w:tr>
      <w:tr w:rsidR="00927E68" w:rsidRPr="00B51B7E" w:rsidTr="000A0779">
        <w:trPr>
          <w:trHeight w:val="132"/>
        </w:trPr>
        <w:tc>
          <w:tcPr>
            <w:tcW w:w="7103" w:type="dxa"/>
            <w:vMerge/>
            <w:vAlign w:val="center"/>
            <w:hideMark/>
          </w:tcPr>
          <w:p w:rsidR="00927E68" w:rsidRPr="00B51B7E" w:rsidRDefault="00927E68" w:rsidP="000A0779">
            <w:pPr>
              <w:keepNext/>
              <w:spacing w:after="0" w:line="240" w:lineRule="auto"/>
              <w:rPr>
                <w:rFonts w:eastAsia="Times New Roman"/>
              </w:rPr>
            </w:pPr>
          </w:p>
        </w:tc>
        <w:tc>
          <w:tcPr>
            <w:tcW w:w="1160" w:type="dxa"/>
            <w:shd w:val="clear" w:color="auto" w:fill="DCE6F1"/>
            <w:noWrap/>
            <w:tcMar>
              <w:top w:w="0" w:type="dxa"/>
              <w:left w:w="70" w:type="dxa"/>
              <w:bottom w:w="0" w:type="dxa"/>
              <w:right w:w="70" w:type="dxa"/>
            </w:tcMar>
            <w:vAlign w:val="center"/>
            <w:hideMark/>
          </w:tcPr>
          <w:p w:rsidR="00927E68" w:rsidRPr="007B205E" w:rsidRDefault="00927E68" w:rsidP="008134D0">
            <w:pPr>
              <w:keepNext/>
              <w:spacing w:after="0" w:line="240" w:lineRule="auto"/>
              <w:jc w:val="right"/>
              <w:rPr>
                <w:rFonts w:eastAsia="Calibri"/>
                <w:b/>
                <w:bCs/>
                <w:sz w:val="20"/>
                <w:szCs w:val="20"/>
              </w:rPr>
            </w:pPr>
            <w:r w:rsidRPr="00B51B7E">
              <w:rPr>
                <w:rFonts w:eastAsia="Calibri"/>
                <w:b/>
                <w:bCs/>
                <w:sz w:val="20"/>
                <w:szCs w:val="20"/>
              </w:rPr>
              <w:t>3</w:t>
            </w:r>
            <w:r w:rsidR="008134D0">
              <w:rPr>
                <w:rFonts w:eastAsia="Calibri"/>
                <w:b/>
                <w:bCs/>
                <w:sz w:val="20"/>
                <w:szCs w:val="20"/>
                <w:lang w:val="en-US"/>
              </w:rPr>
              <w:t>0</w:t>
            </w:r>
            <w:r w:rsidRPr="00B51B7E">
              <w:rPr>
                <w:rFonts w:eastAsia="Calibri"/>
                <w:b/>
                <w:bCs/>
                <w:sz w:val="20"/>
                <w:szCs w:val="20"/>
              </w:rPr>
              <w:t>.</w:t>
            </w:r>
            <w:r>
              <w:rPr>
                <w:rFonts w:eastAsia="Calibri"/>
                <w:b/>
                <w:bCs/>
                <w:sz w:val="20"/>
                <w:szCs w:val="20"/>
              </w:rPr>
              <w:t>0</w:t>
            </w:r>
            <w:r w:rsidR="008134D0">
              <w:rPr>
                <w:rFonts w:eastAsia="Calibri"/>
                <w:b/>
                <w:bCs/>
                <w:sz w:val="20"/>
                <w:szCs w:val="20"/>
                <w:lang w:val="en-US"/>
              </w:rPr>
              <w:t>6</w:t>
            </w:r>
            <w:r w:rsidRPr="00B51B7E">
              <w:rPr>
                <w:rFonts w:eastAsia="Calibri"/>
                <w:b/>
                <w:bCs/>
                <w:sz w:val="20"/>
                <w:szCs w:val="20"/>
              </w:rPr>
              <w:t>.201</w:t>
            </w:r>
            <w:r>
              <w:rPr>
                <w:rFonts w:eastAsia="Calibri"/>
                <w:b/>
                <w:bCs/>
                <w:sz w:val="20"/>
                <w:szCs w:val="20"/>
              </w:rPr>
              <w:t>7</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b/>
                <w:bCs/>
                <w:sz w:val="20"/>
                <w:szCs w:val="20"/>
              </w:rPr>
            </w:pPr>
            <w:r w:rsidRPr="00B51B7E">
              <w:rPr>
                <w:rFonts w:eastAsia="Calibri"/>
                <w:b/>
                <w:bCs/>
                <w:sz w:val="20"/>
                <w:szCs w:val="20"/>
              </w:rPr>
              <w:t>%</w:t>
            </w:r>
          </w:p>
        </w:tc>
      </w:tr>
      <w:tr w:rsidR="00927E68" w:rsidRPr="00B51B7E" w:rsidTr="000A0779">
        <w:trPr>
          <w:trHeight w:val="466"/>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6D642C">
              <w:rPr>
                <w:rFonts w:eastAsia="Calibri"/>
                <w:sz w:val="20"/>
                <w:szCs w:val="20"/>
              </w:rPr>
              <w:t>Брой служители към 31.</w:t>
            </w:r>
            <w:r>
              <w:rPr>
                <w:rFonts w:eastAsia="Calibri"/>
                <w:sz w:val="20"/>
                <w:szCs w:val="20"/>
              </w:rPr>
              <w:t>03</w:t>
            </w:r>
            <w:r w:rsidRPr="006D642C">
              <w:rPr>
                <w:rFonts w:eastAsia="Calibri"/>
                <w:sz w:val="20"/>
                <w:szCs w:val="20"/>
              </w:rPr>
              <w:t>.201</w:t>
            </w:r>
            <w:r>
              <w:rPr>
                <w:rFonts w:eastAsia="Calibri"/>
                <w:sz w:val="20"/>
                <w:szCs w:val="20"/>
              </w:rPr>
              <w:t>7</w:t>
            </w:r>
            <w:r w:rsidRPr="006D642C">
              <w:rPr>
                <w:rFonts w:eastAsia="Calibri"/>
                <w:sz w:val="20"/>
                <w:szCs w:val="20"/>
              </w:rPr>
              <w:t xml:space="preserve"> г.</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rsidR="00927E68" w:rsidRPr="00893A2E" w:rsidRDefault="00927E68" w:rsidP="002926C2">
            <w:pPr>
              <w:keepNext/>
              <w:spacing w:after="0" w:line="240" w:lineRule="auto"/>
              <w:jc w:val="right"/>
              <w:rPr>
                <w:rFonts w:eastAsia="Calibri"/>
                <w:sz w:val="20"/>
                <w:szCs w:val="20"/>
                <w:lang w:val="en-US"/>
              </w:rPr>
            </w:pPr>
            <w:r>
              <w:rPr>
                <w:sz w:val="20"/>
                <w:szCs w:val="20"/>
              </w:rPr>
              <w:t>18</w:t>
            </w:r>
            <w:r w:rsidR="002926C2">
              <w:rPr>
                <w:sz w:val="20"/>
                <w:szCs w:val="20"/>
                <w:lang w:val="en-US"/>
              </w:rPr>
              <w:t>90</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sidRPr="0015579F">
              <w:rPr>
                <w:sz w:val="20"/>
                <w:szCs w:val="20"/>
              </w:rPr>
              <w:t>100%</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Висше образование</w:t>
            </w:r>
          </w:p>
        </w:tc>
        <w:tc>
          <w:tcPr>
            <w:tcW w:w="1160" w:type="dxa"/>
            <w:shd w:val="clear" w:color="auto" w:fill="DCE6F1"/>
            <w:noWrap/>
            <w:tcMar>
              <w:top w:w="0" w:type="dxa"/>
              <w:left w:w="70" w:type="dxa"/>
              <w:bottom w:w="0" w:type="dxa"/>
              <w:right w:w="70" w:type="dxa"/>
            </w:tcMar>
            <w:vAlign w:val="center"/>
            <w:hideMark/>
          </w:tcPr>
          <w:p w:rsidR="00927E68" w:rsidRPr="00893A2E" w:rsidRDefault="00927E68" w:rsidP="007E3B58">
            <w:pPr>
              <w:keepNext/>
              <w:spacing w:after="0" w:line="240" w:lineRule="auto"/>
              <w:jc w:val="right"/>
              <w:rPr>
                <w:rFonts w:eastAsia="Calibri"/>
                <w:sz w:val="20"/>
                <w:szCs w:val="20"/>
                <w:lang w:val="en-US"/>
              </w:rPr>
            </w:pPr>
            <w:r>
              <w:rPr>
                <w:sz w:val="20"/>
                <w:szCs w:val="20"/>
              </w:rPr>
              <w:t>81</w:t>
            </w:r>
            <w:r w:rsidR="007E3B58">
              <w:rPr>
                <w:sz w:val="20"/>
                <w:szCs w:val="20"/>
                <w:lang w:val="en-US"/>
              </w:rPr>
              <w:t>5</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sidRPr="0015579F">
              <w:rPr>
                <w:sz w:val="20"/>
                <w:szCs w:val="20"/>
              </w:rPr>
              <w:t>4</w:t>
            </w:r>
            <w:r>
              <w:rPr>
                <w:sz w:val="20"/>
                <w:szCs w:val="20"/>
              </w:rPr>
              <w:t>4</w:t>
            </w:r>
            <w:r w:rsidRPr="0015579F">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Полувисше образование</w:t>
            </w:r>
          </w:p>
        </w:tc>
        <w:tc>
          <w:tcPr>
            <w:tcW w:w="1160" w:type="dxa"/>
            <w:shd w:val="clear" w:color="auto" w:fill="DCE6F1"/>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rPr>
              <w:t>43</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2</w:t>
            </w:r>
            <w:r w:rsidRPr="0015579F">
              <w:rPr>
                <w:sz w:val="20"/>
                <w:szCs w:val="20"/>
              </w:rPr>
              <w:t>%</w:t>
            </w:r>
          </w:p>
        </w:tc>
      </w:tr>
      <w:tr w:rsidR="00927E68" w:rsidRPr="00B51B7E" w:rsidTr="000A0779">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Средно образование</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rsidR="00927E68" w:rsidRPr="007E3B58" w:rsidRDefault="00927E68" w:rsidP="007E3B58">
            <w:pPr>
              <w:keepNext/>
              <w:spacing w:after="0" w:line="240" w:lineRule="auto"/>
              <w:jc w:val="right"/>
              <w:rPr>
                <w:rFonts w:eastAsia="Calibri"/>
                <w:sz w:val="20"/>
                <w:szCs w:val="20"/>
                <w:lang w:val="en-US"/>
              </w:rPr>
            </w:pPr>
            <w:r>
              <w:rPr>
                <w:sz w:val="20"/>
                <w:szCs w:val="20"/>
              </w:rPr>
              <w:t>9</w:t>
            </w:r>
            <w:r w:rsidR="007E3B58">
              <w:rPr>
                <w:sz w:val="20"/>
                <w:szCs w:val="20"/>
                <w:lang w:val="en-US"/>
              </w:rPr>
              <w:t>97</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5</w:t>
            </w:r>
            <w:r>
              <w:rPr>
                <w:sz w:val="20"/>
                <w:szCs w:val="20"/>
              </w:rPr>
              <w:t>2</w:t>
            </w:r>
            <w:r w:rsidRPr="0015579F">
              <w:rPr>
                <w:sz w:val="20"/>
                <w:szCs w:val="20"/>
              </w:rPr>
              <w:t>%</w:t>
            </w:r>
          </w:p>
        </w:tc>
      </w:tr>
      <w:tr w:rsidR="00927E68" w:rsidRPr="00B51B7E" w:rsidTr="000A0779">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Основно образование</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rsidR="00927E68" w:rsidRPr="00893A2E" w:rsidRDefault="00927E68" w:rsidP="007E3B58">
            <w:pPr>
              <w:keepNext/>
              <w:spacing w:after="0" w:line="240" w:lineRule="auto"/>
              <w:jc w:val="right"/>
              <w:rPr>
                <w:rFonts w:eastAsia="Calibri"/>
                <w:sz w:val="20"/>
                <w:szCs w:val="20"/>
                <w:lang w:val="en-US"/>
              </w:rPr>
            </w:pPr>
            <w:r>
              <w:rPr>
                <w:sz w:val="20"/>
                <w:szCs w:val="20"/>
              </w:rPr>
              <w:t>3</w:t>
            </w:r>
            <w:r w:rsidR="007E3B58">
              <w:rPr>
                <w:sz w:val="20"/>
                <w:szCs w:val="20"/>
                <w:lang w:val="en-US"/>
              </w:rPr>
              <w:t>5</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2</w:t>
            </w:r>
            <w:r>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Служители до 30 г.</w:t>
            </w:r>
          </w:p>
        </w:tc>
        <w:tc>
          <w:tcPr>
            <w:tcW w:w="1160" w:type="dxa"/>
            <w:shd w:val="clear" w:color="auto" w:fill="DCE6F1"/>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rPr>
              <w:t>190</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10</w:t>
            </w:r>
            <w:r w:rsidRPr="0015579F">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Служители 31 - 40 г.</w:t>
            </w:r>
          </w:p>
        </w:tc>
        <w:tc>
          <w:tcPr>
            <w:tcW w:w="1160" w:type="dxa"/>
            <w:shd w:val="clear" w:color="auto" w:fill="DCE6F1"/>
            <w:noWrap/>
            <w:tcMar>
              <w:top w:w="0" w:type="dxa"/>
              <w:left w:w="70" w:type="dxa"/>
              <w:bottom w:w="0" w:type="dxa"/>
              <w:right w:w="70" w:type="dxa"/>
            </w:tcMar>
            <w:vAlign w:val="center"/>
            <w:hideMark/>
          </w:tcPr>
          <w:p w:rsidR="00927E68" w:rsidRPr="00893A2E" w:rsidRDefault="007E3B58" w:rsidP="007E3B58">
            <w:pPr>
              <w:keepNext/>
              <w:spacing w:after="0" w:line="240" w:lineRule="auto"/>
              <w:jc w:val="right"/>
              <w:rPr>
                <w:rFonts w:eastAsia="Calibri"/>
                <w:sz w:val="20"/>
                <w:szCs w:val="20"/>
                <w:lang w:val="en-US"/>
              </w:rPr>
            </w:pPr>
            <w:r>
              <w:rPr>
                <w:sz w:val="20"/>
                <w:szCs w:val="20"/>
                <w:lang w:val="en-US"/>
              </w:rPr>
              <w:t>394</w:t>
            </w:r>
          </w:p>
        </w:tc>
        <w:tc>
          <w:tcPr>
            <w:tcW w:w="1136" w:type="dxa"/>
            <w:noWrap/>
            <w:tcMar>
              <w:top w:w="0" w:type="dxa"/>
              <w:left w:w="70" w:type="dxa"/>
              <w:bottom w:w="0" w:type="dxa"/>
              <w:right w:w="70" w:type="dxa"/>
            </w:tcMar>
            <w:vAlign w:val="center"/>
            <w:hideMark/>
          </w:tcPr>
          <w:p w:rsidR="00927E68" w:rsidRPr="00B51B7E" w:rsidRDefault="00927E68" w:rsidP="002926C2">
            <w:pPr>
              <w:keepNext/>
              <w:spacing w:after="0" w:line="240" w:lineRule="auto"/>
              <w:jc w:val="right"/>
              <w:rPr>
                <w:rFonts w:eastAsia="Calibri"/>
                <w:sz w:val="20"/>
                <w:szCs w:val="20"/>
              </w:rPr>
            </w:pPr>
            <w:r>
              <w:rPr>
                <w:sz w:val="20"/>
                <w:szCs w:val="20"/>
                <w:lang w:val="en-US"/>
              </w:rPr>
              <w:t>2</w:t>
            </w:r>
            <w:r w:rsidR="002926C2">
              <w:rPr>
                <w:sz w:val="20"/>
                <w:szCs w:val="20"/>
                <w:lang w:val="en-US"/>
              </w:rPr>
              <w:t>1</w:t>
            </w:r>
            <w:r w:rsidRPr="0015579F">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Служители 41 - 50 г.</w:t>
            </w:r>
          </w:p>
        </w:tc>
        <w:tc>
          <w:tcPr>
            <w:tcW w:w="1160" w:type="dxa"/>
            <w:shd w:val="clear" w:color="auto" w:fill="DCE6F1"/>
            <w:noWrap/>
            <w:tcMar>
              <w:top w:w="0" w:type="dxa"/>
              <w:left w:w="70" w:type="dxa"/>
              <w:bottom w:w="0" w:type="dxa"/>
              <w:right w:w="70" w:type="dxa"/>
            </w:tcMar>
            <w:vAlign w:val="center"/>
            <w:hideMark/>
          </w:tcPr>
          <w:p w:rsidR="00927E68" w:rsidRPr="00893A2E" w:rsidRDefault="00927E68" w:rsidP="007E3B58">
            <w:pPr>
              <w:keepNext/>
              <w:spacing w:after="0" w:line="240" w:lineRule="auto"/>
              <w:jc w:val="right"/>
              <w:rPr>
                <w:rFonts w:eastAsia="Calibri"/>
                <w:sz w:val="20"/>
                <w:szCs w:val="20"/>
                <w:lang w:val="en-US"/>
              </w:rPr>
            </w:pPr>
            <w:r>
              <w:rPr>
                <w:sz w:val="20"/>
                <w:szCs w:val="20"/>
                <w:lang w:val="en-US"/>
              </w:rPr>
              <w:t>61</w:t>
            </w:r>
            <w:r w:rsidR="007E3B58">
              <w:rPr>
                <w:sz w:val="20"/>
                <w:szCs w:val="20"/>
                <w:lang w:val="en-US"/>
              </w:rPr>
              <w:t>5</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3</w:t>
            </w:r>
            <w:r>
              <w:rPr>
                <w:sz w:val="20"/>
                <w:szCs w:val="20"/>
              </w:rPr>
              <w:t>3</w:t>
            </w:r>
            <w:r w:rsidRPr="0015579F">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Служители 51 - 60 г.</w:t>
            </w:r>
          </w:p>
        </w:tc>
        <w:tc>
          <w:tcPr>
            <w:tcW w:w="1160" w:type="dxa"/>
            <w:shd w:val="clear" w:color="auto" w:fill="DCE6F1"/>
            <w:noWrap/>
            <w:tcMar>
              <w:top w:w="0" w:type="dxa"/>
              <w:left w:w="70" w:type="dxa"/>
              <w:bottom w:w="0" w:type="dxa"/>
              <w:right w:w="70" w:type="dxa"/>
            </w:tcMar>
            <w:vAlign w:val="center"/>
            <w:hideMark/>
          </w:tcPr>
          <w:p w:rsidR="00927E68" w:rsidRPr="00893A2E" w:rsidRDefault="00927E68" w:rsidP="002926C2">
            <w:pPr>
              <w:keepNext/>
              <w:spacing w:after="0" w:line="240" w:lineRule="auto"/>
              <w:jc w:val="right"/>
              <w:rPr>
                <w:rFonts w:eastAsia="Calibri"/>
                <w:sz w:val="20"/>
                <w:szCs w:val="20"/>
                <w:lang w:val="en-US"/>
              </w:rPr>
            </w:pPr>
            <w:r>
              <w:rPr>
                <w:sz w:val="20"/>
                <w:szCs w:val="20"/>
              </w:rPr>
              <w:t>5</w:t>
            </w:r>
            <w:r w:rsidR="002926C2">
              <w:rPr>
                <w:sz w:val="20"/>
                <w:szCs w:val="20"/>
                <w:lang w:val="en-US"/>
              </w:rPr>
              <w:t>51</w:t>
            </w:r>
          </w:p>
        </w:tc>
        <w:tc>
          <w:tcPr>
            <w:tcW w:w="1136" w:type="dxa"/>
            <w:noWrap/>
            <w:tcMar>
              <w:top w:w="0" w:type="dxa"/>
              <w:left w:w="70" w:type="dxa"/>
              <w:bottom w:w="0" w:type="dxa"/>
              <w:right w:w="70" w:type="dxa"/>
            </w:tcMar>
            <w:vAlign w:val="center"/>
            <w:hideMark/>
          </w:tcPr>
          <w:p w:rsidR="00927E68" w:rsidRPr="00B51B7E" w:rsidRDefault="00927E68" w:rsidP="000A0779">
            <w:pPr>
              <w:keepNext/>
              <w:spacing w:after="0" w:line="240" w:lineRule="auto"/>
              <w:jc w:val="right"/>
              <w:rPr>
                <w:rFonts w:eastAsia="Calibri"/>
                <w:sz w:val="20"/>
                <w:szCs w:val="20"/>
              </w:rPr>
            </w:pPr>
            <w:r>
              <w:rPr>
                <w:sz w:val="20"/>
                <w:szCs w:val="20"/>
                <w:lang w:val="en-US"/>
              </w:rPr>
              <w:t>29</w:t>
            </w:r>
            <w:r w:rsidRPr="0015579F">
              <w:rPr>
                <w:sz w:val="20"/>
                <w:szCs w:val="20"/>
              </w:rPr>
              <w:t>%</w:t>
            </w:r>
          </w:p>
        </w:tc>
      </w:tr>
      <w:tr w:rsidR="00927E68" w:rsidRPr="00B51B7E" w:rsidTr="000A0779">
        <w:trPr>
          <w:trHeight w:val="238"/>
        </w:trPr>
        <w:tc>
          <w:tcPr>
            <w:tcW w:w="7103" w:type="dxa"/>
            <w:tcBorders>
              <w:top w:val="nil"/>
              <w:left w:val="nil"/>
              <w:bottom w:val="single" w:sz="8" w:space="0" w:color="auto"/>
              <w:right w:val="nil"/>
            </w:tcBorders>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Служители над 60 г.</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rsidR="00927E68" w:rsidRPr="002926C2" w:rsidRDefault="00927E68" w:rsidP="002926C2">
            <w:pPr>
              <w:keepNext/>
              <w:spacing w:after="0" w:line="240" w:lineRule="auto"/>
              <w:jc w:val="right"/>
              <w:rPr>
                <w:rFonts w:eastAsia="Calibri"/>
                <w:sz w:val="20"/>
                <w:szCs w:val="20"/>
                <w:lang w:val="en-US"/>
              </w:rPr>
            </w:pPr>
            <w:r>
              <w:rPr>
                <w:sz w:val="20"/>
                <w:szCs w:val="20"/>
              </w:rPr>
              <w:t>1</w:t>
            </w:r>
            <w:r w:rsidR="002926C2">
              <w:rPr>
                <w:sz w:val="20"/>
                <w:szCs w:val="20"/>
                <w:lang w:val="en-US"/>
              </w:rPr>
              <w:t>40</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rsidR="00927E68" w:rsidRPr="00B51B7E" w:rsidRDefault="002926C2" w:rsidP="000A0779">
            <w:pPr>
              <w:keepNext/>
              <w:spacing w:after="0" w:line="240" w:lineRule="auto"/>
              <w:jc w:val="right"/>
              <w:rPr>
                <w:rFonts w:eastAsia="Calibri"/>
                <w:sz w:val="20"/>
                <w:szCs w:val="20"/>
              </w:rPr>
            </w:pPr>
            <w:r>
              <w:rPr>
                <w:sz w:val="20"/>
                <w:szCs w:val="20"/>
                <w:lang w:val="en-US"/>
              </w:rPr>
              <w:t>7</w:t>
            </w:r>
            <w:r w:rsidR="00927E68" w:rsidRPr="0015579F">
              <w:rPr>
                <w:sz w:val="20"/>
                <w:szCs w:val="20"/>
              </w:rPr>
              <w:t>%</w:t>
            </w:r>
          </w:p>
        </w:tc>
      </w:tr>
      <w:tr w:rsidR="00927E68" w:rsidRPr="00B51B7E" w:rsidTr="000A0779">
        <w:trPr>
          <w:trHeight w:val="225"/>
        </w:trPr>
        <w:tc>
          <w:tcPr>
            <w:tcW w:w="7103" w:type="dxa"/>
            <w:tcMar>
              <w:top w:w="0" w:type="dxa"/>
              <w:left w:w="70" w:type="dxa"/>
              <w:bottom w:w="0" w:type="dxa"/>
              <w:right w:w="70" w:type="dxa"/>
            </w:tcMar>
            <w:vAlign w:val="center"/>
            <w:hideMark/>
          </w:tcPr>
          <w:p w:rsidR="00927E68" w:rsidRPr="00B51B7E" w:rsidRDefault="00927E68" w:rsidP="000A0779">
            <w:pPr>
              <w:keepNext/>
              <w:spacing w:after="0" w:line="240" w:lineRule="auto"/>
              <w:rPr>
                <w:rFonts w:eastAsia="Calibri"/>
                <w:sz w:val="20"/>
                <w:szCs w:val="20"/>
              </w:rPr>
            </w:pPr>
            <w:r w:rsidRPr="00B51B7E">
              <w:rPr>
                <w:rFonts w:eastAsia="Calibri"/>
                <w:sz w:val="20"/>
                <w:szCs w:val="20"/>
              </w:rPr>
              <w:t>Жени</w:t>
            </w:r>
          </w:p>
        </w:tc>
        <w:tc>
          <w:tcPr>
            <w:tcW w:w="1160" w:type="dxa"/>
            <w:shd w:val="clear" w:color="auto" w:fill="DCE6F1"/>
            <w:noWrap/>
            <w:tcMar>
              <w:top w:w="0" w:type="dxa"/>
              <w:left w:w="70" w:type="dxa"/>
              <w:bottom w:w="0" w:type="dxa"/>
              <w:right w:w="70" w:type="dxa"/>
            </w:tcMar>
            <w:vAlign w:val="center"/>
            <w:hideMark/>
          </w:tcPr>
          <w:p w:rsidR="00927E68" w:rsidRPr="00B51B7E" w:rsidRDefault="00927E68" w:rsidP="002926C2">
            <w:pPr>
              <w:keepNext/>
              <w:spacing w:after="0" w:line="240" w:lineRule="auto"/>
              <w:jc w:val="right"/>
              <w:rPr>
                <w:rFonts w:eastAsia="Calibri"/>
                <w:sz w:val="20"/>
                <w:szCs w:val="20"/>
                <w:lang w:val="en-US"/>
              </w:rPr>
            </w:pPr>
            <w:r>
              <w:rPr>
                <w:sz w:val="20"/>
                <w:szCs w:val="20"/>
                <w:lang w:val="en-US"/>
              </w:rPr>
              <w:t>11</w:t>
            </w:r>
            <w:r w:rsidR="002926C2">
              <w:rPr>
                <w:sz w:val="20"/>
                <w:szCs w:val="20"/>
                <w:lang w:val="en-US"/>
              </w:rPr>
              <w:t>86</w:t>
            </w:r>
          </w:p>
        </w:tc>
        <w:tc>
          <w:tcPr>
            <w:tcW w:w="1136" w:type="dxa"/>
            <w:noWrap/>
            <w:tcMar>
              <w:top w:w="0" w:type="dxa"/>
              <w:left w:w="70" w:type="dxa"/>
              <w:bottom w:w="0" w:type="dxa"/>
              <w:right w:w="70" w:type="dxa"/>
            </w:tcMar>
            <w:vAlign w:val="center"/>
            <w:hideMark/>
          </w:tcPr>
          <w:p w:rsidR="00927E68" w:rsidRPr="00B51B7E" w:rsidRDefault="00927E68" w:rsidP="002926C2">
            <w:pPr>
              <w:keepNext/>
              <w:spacing w:after="0" w:line="240" w:lineRule="auto"/>
              <w:jc w:val="right"/>
              <w:rPr>
                <w:rFonts w:eastAsia="Calibri"/>
                <w:sz w:val="20"/>
                <w:szCs w:val="20"/>
              </w:rPr>
            </w:pPr>
            <w:r w:rsidRPr="0015579F">
              <w:rPr>
                <w:sz w:val="20"/>
                <w:szCs w:val="20"/>
              </w:rPr>
              <w:t>6</w:t>
            </w:r>
            <w:r w:rsidR="002926C2">
              <w:rPr>
                <w:sz w:val="20"/>
                <w:szCs w:val="20"/>
                <w:lang w:val="en-US"/>
              </w:rPr>
              <w:t>3</w:t>
            </w:r>
            <w:r w:rsidRPr="0015579F">
              <w:rPr>
                <w:sz w:val="20"/>
                <w:szCs w:val="20"/>
              </w:rPr>
              <w:t>%</w:t>
            </w:r>
          </w:p>
        </w:tc>
      </w:tr>
      <w:tr w:rsidR="00927E68" w:rsidRPr="00B51B7E" w:rsidTr="000A0779">
        <w:trPr>
          <w:trHeight w:val="238"/>
        </w:trPr>
        <w:tc>
          <w:tcPr>
            <w:tcW w:w="7103" w:type="dxa"/>
            <w:tcBorders>
              <w:top w:val="nil"/>
              <w:left w:val="nil"/>
              <w:bottom w:val="double" w:sz="6" w:space="0" w:color="auto"/>
              <w:right w:val="nil"/>
            </w:tcBorders>
            <w:noWrap/>
            <w:tcMar>
              <w:top w:w="0" w:type="dxa"/>
              <w:left w:w="70" w:type="dxa"/>
              <w:bottom w:w="0" w:type="dxa"/>
              <w:right w:w="70" w:type="dxa"/>
            </w:tcMar>
            <w:vAlign w:val="center"/>
            <w:hideMark/>
          </w:tcPr>
          <w:p w:rsidR="00927E68" w:rsidRPr="00B51B7E" w:rsidRDefault="00927E68" w:rsidP="000A0779">
            <w:pPr>
              <w:spacing w:after="0" w:line="240" w:lineRule="auto"/>
              <w:rPr>
                <w:rFonts w:eastAsia="Calibri"/>
                <w:sz w:val="20"/>
                <w:szCs w:val="20"/>
              </w:rPr>
            </w:pPr>
            <w:r w:rsidRPr="00B51B7E">
              <w:rPr>
                <w:rFonts w:eastAsia="Calibri"/>
                <w:sz w:val="20"/>
                <w:szCs w:val="20"/>
              </w:rPr>
              <w:t>Мъже</w:t>
            </w:r>
          </w:p>
        </w:tc>
        <w:tc>
          <w:tcPr>
            <w:tcW w:w="1160" w:type="dxa"/>
            <w:tcBorders>
              <w:top w:val="nil"/>
              <w:left w:val="nil"/>
              <w:bottom w:val="double" w:sz="6" w:space="0" w:color="auto"/>
              <w:right w:val="nil"/>
            </w:tcBorders>
            <w:shd w:val="clear" w:color="auto" w:fill="DCE6F1"/>
            <w:noWrap/>
            <w:tcMar>
              <w:top w:w="0" w:type="dxa"/>
              <w:left w:w="70" w:type="dxa"/>
              <w:bottom w:w="0" w:type="dxa"/>
              <w:right w:w="70" w:type="dxa"/>
            </w:tcMar>
            <w:vAlign w:val="center"/>
            <w:hideMark/>
          </w:tcPr>
          <w:p w:rsidR="00927E68" w:rsidRPr="00893A2E" w:rsidRDefault="00927E68" w:rsidP="002926C2">
            <w:pPr>
              <w:spacing w:after="0" w:line="240" w:lineRule="auto"/>
              <w:jc w:val="right"/>
              <w:rPr>
                <w:rFonts w:eastAsia="Calibri"/>
                <w:sz w:val="20"/>
                <w:szCs w:val="20"/>
                <w:lang w:val="en-US"/>
              </w:rPr>
            </w:pPr>
            <w:r>
              <w:rPr>
                <w:sz w:val="20"/>
                <w:szCs w:val="20"/>
              </w:rPr>
              <w:t>70</w:t>
            </w:r>
            <w:r w:rsidR="002926C2">
              <w:rPr>
                <w:sz w:val="20"/>
                <w:szCs w:val="20"/>
                <w:lang w:val="en-US"/>
              </w:rPr>
              <w:t>4</w:t>
            </w:r>
          </w:p>
        </w:tc>
        <w:tc>
          <w:tcPr>
            <w:tcW w:w="1136" w:type="dxa"/>
            <w:tcBorders>
              <w:top w:val="nil"/>
              <w:left w:val="nil"/>
              <w:bottom w:val="double" w:sz="6" w:space="0" w:color="auto"/>
              <w:right w:val="nil"/>
            </w:tcBorders>
            <w:noWrap/>
            <w:tcMar>
              <w:top w:w="0" w:type="dxa"/>
              <w:left w:w="70" w:type="dxa"/>
              <w:bottom w:w="0" w:type="dxa"/>
              <w:right w:w="70" w:type="dxa"/>
            </w:tcMar>
            <w:vAlign w:val="center"/>
            <w:hideMark/>
          </w:tcPr>
          <w:p w:rsidR="00927E68" w:rsidRPr="00B51B7E" w:rsidRDefault="00927E68" w:rsidP="002926C2">
            <w:pPr>
              <w:spacing w:after="0" w:line="240" w:lineRule="auto"/>
              <w:jc w:val="right"/>
              <w:rPr>
                <w:rFonts w:eastAsia="Calibri"/>
                <w:sz w:val="20"/>
                <w:szCs w:val="20"/>
              </w:rPr>
            </w:pPr>
            <w:r w:rsidRPr="0015579F">
              <w:rPr>
                <w:sz w:val="20"/>
                <w:szCs w:val="20"/>
              </w:rPr>
              <w:t>3</w:t>
            </w:r>
            <w:r w:rsidR="002926C2">
              <w:rPr>
                <w:sz w:val="20"/>
                <w:szCs w:val="20"/>
                <w:lang w:val="en-US"/>
              </w:rPr>
              <w:t>7</w:t>
            </w:r>
            <w:r w:rsidRPr="0015579F">
              <w:rPr>
                <w:sz w:val="20"/>
                <w:szCs w:val="20"/>
              </w:rPr>
              <w:t>%</w:t>
            </w:r>
          </w:p>
        </w:tc>
      </w:tr>
    </w:tbl>
    <w:p w:rsidR="00927E68" w:rsidRPr="00FF4B2E" w:rsidRDefault="00927E68" w:rsidP="00927E68">
      <w:pPr>
        <w:tabs>
          <w:tab w:val="left" w:pos="9214"/>
        </w:tabs>
        <w:suppressAutoHyphens/>
        <w:autoSpaceDN w:val="0"/>
        <w:spacing w:before="40" w:after="40" w:line="240" w:lineRule="auto"/>
        <w:jc w:val="both"/>
        <w:textAlignment w:val="baseline"/>
        <w:rPr>
          <w:rFonts w:eastAsia="Calibri" w:cs="Calibri"/>
          <w:sz w:val="24"/>
          <w:szCs w:val="24"/>
          <w:lang w:val="en-US"/>
        </w:rPr>
      </w:pPr>
    </w:p>
    <w:p w:rsidR="00927E68" w:rsidRPr="00AE6DEE" w:rsidRDefault="00927E68" w:rsidP="00927E68">
      <w:pPr>
        <w:tabs>
          <w:tab w:val="left" w:pos="9214"/>
        </w:tabs>
        <w:suppressAutoHyphens/>
        <w:autoSpaceDN w:val="0"/>
        <w:spacing w:before="40" w:after="40" w:line="240" w:lineRule="auto"/>
        <w:jc w:val="both"/>
        <w:textAlignment w:val="baseline"/>
        <w:rPr>
          <w:rFonts w:eastAsia="Calibri" w:cs="Calibri"/>
          <w:sz w:val="24"/>
          <w:szCs w:val="24"/>
        </w:rPr>
      </w:pPr>
      <w:r>
        <w:rPr>
          <w:rFonts w:cs="Calibri"/>
          <w:sz w:val="24"/>
          <w:szCs w:val="24"/>
        </w:rPr>
        <w:t>Програмите за обучение, предлагани на служители на Дружеството, имат за цел развитието на компетенциите на служителите</w:t>
      </w:r>
      <w:r>
        <w:t xml:space="preserve">. </w:t>
      </w:r>
      <w:r>
        <w:rPr>
          <w:rFonts w:eastAsia="Calibri" w:cs="Calibri"/>
          <w:sz w:val="24"/>
          <w:szCs w:val="24"/>
        </w:rPr>
        <w:t>Политиката в областта на обучението е специално насочена към предоставяне на високи професионални познания, както и във връзка с изискванията за здравословни и безопасни условия на труд.</w:t>
      </w:r>
    </w:p>
    <w:p w:rsidR="00927E68" w:rsidRDefault="00927E68" w:rsidP="00927E68">
      <w:pPr>
        <w:tabs>
          <w:tab w:val="left" w:pos="9214"/>
        </w:tabs>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Работниците и служителите имат право на по-високо допълнително възнаграждение, изисквано от приложимия закон за  извънреден труд, нощни смени и работа в събота, неделя и по време на празници. Служителите, които работят при специфични, вредни или опасни условия, получават лични предпазни средства и надбавки. </w:t>
      </w:r>
    </w:p>
    <w:p w:rsidR="00DC16DF" w:rsidRDefault="00DC16DF" w:rsidP="00927E68">
      <w:pPr>
        <w:tabs>
          <w:tab w:val="left" w:pos="9214"/>
        </w:tabs>
        <w:suppressAutoHyphens/>
        <w:autoSpaceDN w:val="0"/>
        <w:spacing w:before="40" w:after="40" w:line="240" w:lineRule="auto"/>
        <w:jc w:val="both"/>
        <w:textAlignment w:val="baseline"/>
        <w:rPr>
          <w:rFonts w:eastAsia="Calibri" w:cs="Calibri"/>
          <w:sz w:val="24"/>
          <w:szCs w:val="24"/>
        </w:rPr>
      </w:pPr>
    </w:p>
    <w:p w:rsidR="00DC16DF" w:rsidRPr="001B413B" w:rsidRDefault="00BC5FDB" w:rsidP="00DC16DF">
      <w:pPr>
        <w:pStyle w:val="Heading2"/>
        <w:rPr>
          <w:rFonts w:asciiTheme="minorHAnsi" w:eastAsia="Calibri" w:hAnsiTheme="minorHAnsi" w:cstheme="minorHAnsi"/>
          <w:b/>
          <w:color w:val="365F91" w:themeColor="accent1" w:themeShade="BF"/>
          <w:sz w:val="24"/>
          <w:szCs w:val="24"/>
        </w:rPr>
      </w:pPr>
      <w:bookmarkStart w:id="5" w:name="_Toc480984574"/>
      <w:r>
        <w:rPr>
          <w:rFonts w:asciiTheme="minorHAnsi" w:eastAsia="Calibri" w:hAnsiTheme="minorHAnsi" w:cstheme="minorHAnsi"/>
          <w:b/>
          <w:color w:val="365F91" w:themeColor="accent1" w:themeShade="BF"/>
          <w:sz w:val="24"/>
          <w:szCs w:val="24"/>
        </w:rPr>
        <w:t>5</w:t>
      </w:r>
      <w:r w:rsidR="00DC16DF" w:rsidRPr="001B413B">
        <w:rPr>
          <w:rFonts w:asciiTheme="minorHAnsi" w:eastAsia="Calibri" w:hAnsiTheme="minorHAnsi" w:cstheme="minorHAnsi"/>
          <w:b/>
          <w:color w:val="365F91" w:themeColor="accent1" w:themeShade="BF"/>
          <w:sz w:val="24"/>
          <w:szCs w:val="24"/>
        </w:rPr>
        <w:t>. Производствена дейност</w:t>
      </w:r>
      <w:bookmarkEnd w:id="5"/>
    </w:p>
    <w:p w:rsidR="00DC16DF" w:rsidRPr="00EC0C5B" w:rsidRDefault="00DC16DF" w:rsidP="00DC16DF">
      <w:pPr>
        <w:suppressAutoHyphens/>
        <w:autoSpaceDN w:val="0"/>
        <w:spacing w:before="40" w:after="40" w:line="240" w:lineRule="auto"/>
        <w:ind w:firstLine="720"/>
        <w:jc w:val="both"/>
        <w:textAlignment w:val="baseline"/>
        <w:rPr>
          <w:rFonts w:eastAsia="Calibri" w:cs="Calibri"/>
          <w:sz w:val="24"/>
          <w:szCs w:val="24"/>
          <w:lang w:val="ru-RU"/>
        </w:rPr>
      </w:pPr>
      <w:r w:rsidRPr="00F524AE">
        <w:rPr>
          <w:rFonts w:eastAsia="Calibri" w:cs="Calibri"/>
          <w:sz w:val="24"/>
          <w:szCs w:val="24"/>
        </w:rPr>
        <w:t>Софарма АД има осем производствени завода, съобразени с изискванията на ЕС</w:t>
      </w:r>
      <w:r w:rsidRPr="00991255">
        <w:rPr>
          <w:rFonts w:eastAsia="Calibri" w:cs="Calibri"/>
          <w:sz w:val="24"/>
          <w:szCs w:val="24"/>
        </w:rPr>
        <w:t>,</w:t>
      </w:r>
      <w:r>
        <w:rPr>
          <w:rFonts w:eastAsia="Calibri" w:cs="Calibri"/>
          <w:sz w:val="24"/>
          <w:szCs w:val="24"/>
        </w:rPr>
        <w:t xml:space="preserve"> които се намират в България. Дружеството е най-големият български производител на ампули и супозитории.</w:t>
      </w:r>
    </w:p>
    <w:p w:rsidR="00DC16DF" w:rsidRPr="00AE6DEE" w:rsidRDefault="00DC16DF" w:rsidP="00DC16DF">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Производствената дейност на дружеството се осъществява и развива в следните основни направления:</w:t>
      </w:r>
    </w:p>
    <w:p w:rsidR="00DC16DF" w:rsidRPr="00AE6DEE" w:rsidRDefault="00DC16DF" w:rsidP="00DC16DF">
      <w:pPr>
        <w:widowControl w:val="0"/>
        <w:numPr>
          <w:ilvl w:val="0"/>
          <w:numId w:val="4"/>
        </w:numPr>
        <w:suppressAutoHyphens/>
        <w:autoSpaceDN w:val="0"/>
        <w:spacing w:after="0" w:line="240" w:lineRule="auto"/>
        <w:ind w:left="993" w:hanging="567"/>
        <w:jc w:val="both"/>
        <w:textAlignment w:val="baseline"/>
        <w:rPr>
          <w:rFonts w:eastAsia="Times New Roman" w:cs="Calibri"/>
          <w:color w:val="000000"/>
          <w:kern w:val="28"/>
          <w:sz w:val="24"/>
          <w:szCs w:val="24"/>
        </w:rPr>
      </w:pPr>
      <w:r>
        <w:rPr>
          <w:rFonts w:eastAsia="Times New Roman" w:cs="Calibri"/>
          <w:color w:val="000000"/>
          <w:kern w:val="28"/>
          <w:sz w:val="24"/>
          <w:szCs w:val="24"/>
        </w:rPr>
        <w:t xml:space="preserve">Субстанции и препарати на основата на растителни суровини </w:t>
      </w:r>
      <w:r>
        <w:rPr>
          <w:rFonts w:eastAsia="Times New Roman" w:cs="Calibri"/>
          <w:color w:val="000000"/>
          <w:spacing w:val="-4"/>
          <w:kern w:val="28"/>
          <w:sz w:val="24"/>
          <w:szCs w:val="24"/>
        </w:rPr>
        <w:t>(фитохимично производство);</w:t>
      </w:r>
    </w:p>
    <w:p w:rsidR="00DC16DF" w:rsidRPr="00AE6DEE" w:rsidRDefault="00DC16DF" w:rsidP="00DC16DF">
      <w:pPr>
        <w:widowControl w:val="0"/>
        <w:numPr>
          <w:ilvl w:val="0"/>
          <w:numId w:val="5"/>
        </w:numPr>
        <w:suppressAutoHyphens/>
        <w:autoSpaceDN w:val="0"/>
        <w:spacing w:after="0" w:line="240" w:lineRule="auto"/>
        <w:ind w:left="993" w:hanging="567"/>
        <w:jc w:val="both"/>
        <w:textAlignment w:val="baseline"/>
        <w:rPr>
          <w:rFonts w:eastAsia="Times New Roman" w:cs="Calibri"/>
          <w:color w:val="000000"/>
          <w:kern w:val="28"/>
          <w:sz w:val="24"/>
          <w:szCs w:val="24"/>
        </w:rPr>
      </w:pPr>
      <w:r>
        <w:rPr>
          <w:rFonts w:eastAsia="Times New Roman" w:cs="Calibri"/>
          <w:color w:val="000000"/>
          <w:kern w:val="28"/>
          <w:sz w:val="24"/>
          <w:szCs w:val="24"/>
        </w:rPr>
        <w:t xml:space="preserve">Готови </w:t>
      </w:r>
      <w:r>
        <w:rPr>
          <w:rFonts w:eastAsia="Times New Roman" w:cs="Calibri"/>
          <w:color w:val="000000"/>
          <w:spacing w:val="-4"/>
          <w:kern w:val="28"/>
          <w:sz w:val="24"/>
          <w:szCs w:val="24"/>
        </w:rPr>
        <w:t>лекарствени форми в т.ч.</w:t>
      </w:r>
    </w:p>
    <w:p w:rsidR="00DC16DF" w:rsidRPr="00AE6DEE" w:rsidRDefault="00DC16DF" w:rsidP="00DC16DF">
      <w:pPr>
        <w:widowControl w:val="0"/>
        <w:numPr>
          <w:ilvl w:val="0"/>
          <w:numId w:val="6"/>
        </w:numPr>
        <w:suppressAutoHyphens/>
        <w:autoSpaceDN w:val="0"/>
        <w:spacing w:after="0" w:line="240" w:lineRule="auto"/>
        <w:jc w:val="both"/>
        <w:textAlignment w:val="baseline"/>
        <w:rPr>
          <w:rFonts w:eastAsia="Times New Roman" w:cs="Calibri"/>
          <w:color w:val="000000"/>
          <w:kern w:val="28"/>
          <w:sz w:val="24"/>
          <w:szCs w:val="24"/>
        </w:rPr>
      </w:pPr>
      <w:r>
        <w:rPr>
          <w:rFonts w:eastAsia="Times New Roman" w:cs="Calibri"/>
          <w:color w:val="000000"/>
          <w:kern w:val="28"/>
          <w:sz w:val="24"/>
          <w:szCs w:val="24"/>
        </w:rPr>
        <w:t xml:space="preserve">Твърди таблетки, обвити таблетки, филмирани таблетки, </w:t>
      </w:r>
      <w:r>
        <w:rPr>
          <w:rFonts w:eastAsia="Times New Roman" w:cs="Calibri"/>
          <w:color w:val="000000"/>
          <w:spacing w:val="-6"/>
          <w:kern w:val="28"/>
          <w:sz w:val="24"/>
          <w:szCs w:val="24"/>
        </w:rPr>
        <w:t>капсули;</w:t>
      </w:r>
    </w:p>
    <w:p w:rsidR="00DC16DF" w:rsidRPr="00AE6DEE" w:rsidRDefault="00DC16DF" w:rsidP="00DC16DF">
      <w:pPr>
        <w:widowControl w:val="0"/>
        <w:numPr>
          <w:ilvl w:val="0"/>
          <w:numId w:val="6"/>
        </w:numPr>
        <w:suppressAutoHyphens/>
        <w:autoSpaceDN w:val="0"/>
        <w:spacing w:after="0" w:line="240" w:lineRule="auto"/>
        <w:jc w:val="both"/>
        <w:textAlignment w:val="baseline"/>
        <w:rPr>
          <w:rFonts w:eastAsia="Times New Roman" w:cs="Calibri"/>
          <w:color w:val="000000"/>
          <w:kern w:val="28"/>
          <w:sz w:val="24"/>
          <w:szCs w:val="24"/>
        </w:rPr>
      </w:pPr>
      <w:r>
        <w:rPr>
          <w:rFonts w:eastAsia="Times New Roman" w:cs="Calibri"/>
          <w:color w:val="000000"/>
          <w:spacing w:val="-3"/>
          <w:kern w:val="28"/>
          <w:sz w:val="24"/>
          <w:szCs w:val="24"/>
        </w:rPr>
        <w:t>Галенични - супозитории, капки, сиропи, унгвенти;</w:t>
      </w:r>
    </w:p>
    <w:p w:rsidR="00DC16DF" w:rsidRPr="00AE6DEE" w:rsidRDefault="00DC16DF" w:rsidP="00DC16DF">
      <w:pPr>
        <w:numPr>
          <w:ilvl w:val="0"/>
          <w:numId w:val="6"/>
        </w:numPr>
        <w:suppressAutoHyphens/>
        <w:autoSpaceDN w:val="0"/>
        <w:spacing w:before="40" w:after="40" w:line="240" w:lineRule="auto"/>
        <w:jc w:val="both"/>
        <w:textAlignment w:val="baseline"/>
        <w:rPr>
          <w:rFonts w:eastAsia="Times New Roman" w:cs="Calibri"/>
          <w:color w:val="000000"/>
          <w:spacing w:val="-5"/>
          <w:kern w:val="28"/>
          <w:sz w:val="24"/>
          <w:szCs w:val="24"/>
        </w:rPr>
      </w:pPr>
      <w:r>
        <w:rPr>
          <w:rFonts w:eastAsia="Times New Roman" w:cs="Calibri"/>
          <w:color w:val="000000"/>
          <w:spacing w:val="-3"/>
          <w:kern w:val="28"/>
          <w:sz w:val="24"/>
          <w:szCs w:val="24"/>
        </w:rPr>
        <w:t xml:space="preserve">Парентерални - инжекционни разтвори, лиофилни прахове за </w:t>
      </w:r>
      <w:r>
        <w:rPr>
          <w:rFonts w:eastAsia="Times New Roman" w:cs="Calibri"/>
          <w:color w:val="000000"/>
          <w:spacing w:val="-5"/>
          <w:kern w:val="28"/>
          <w:sz w:val="24"/>
          <w:szCs w:val="24"/>
        </w:rPr>
        <w:t>инжекции</w:t>
      </w:r>
    </w:p>
    <w:p w:rsidR="00DC16DF" w:rsidRDefault="00DC16DF" w:rsidP="00DC16DF">
      <w:pPr>
        <w:pStyle w:val="Heading2"/>
        <w:rPr>
          <w:rFonts w:asciiTheme="minorHAnsi" w:eastAsia="Calibri" w:hAnsiTheme="minorHAnsi" w:cstheme="minorHAnsi"/>
          <w:color w:val="365F91" w:themeColor="accent1" w:themeShade="BF"/>
          <w:sz w:val="24"/>
          <w:szCs w:val="24"/>
        </w:rPr>
      </w:pPr>
    </w:p>
    <w:p w:rsidR="00DC16DF" w:rsidRPr="001B413B" w:rsidRDefault="00BC5FDB" w:rsidP="00DC16DF">
      <w:pPr>
        <w:pStyle w:val="Heading2"/>
        <w:rPr>
          <w:rFonts w:asciiTheme="minorHAnsi" w:eastAsia="Calibri" w:hAnsiTheme="minorHAnsi" w:cstheme="minorHAnsi"/>
          <w:b/>
          <w:color w:val="365F91" w:themeColor="accent1" w:themeShade="BF"/>
          <w:sz w:val="24"/>
          <w:szCs w:val="24"/>
        </w:rPr>
      </w:pPr>
      <w:bookmarkStart w:id="6" w:name="_Toc480984575"/>
      <w:r>
        <w:rPr>
          <w:rFonts w:asciiTheme="minorHAnsi" w:eastAsia="Calibri" w:hAnsiTheme="minorHAnsi" w:cstheme="minorHAnsi"/>
          <w:b/>
          <w:color w:val="365F91" w:themeColor="accent1" w:themeShade="BF"/>
          <w:sz w:val="24"/>
          <w:szCs w:val="24"/>
        </w:rPr>
        <w:lastRenderedPageBreak/>
        <w:t>6</w:t>
      </w:r>
      <w:r w:rsidR="00DC16DF" w:rsidRPr="001B413B">
        <w:rPr>
          <w:rFonts w:asciiTheme="minorHAnsi" w:eastAsia="Calibri" w:hAnsiTheme="minorHAnsi" w:cstheme="minorHAnsi"/>
          <w:b/>
          <w:color w:val="365F91" w:themeColor="accent1" w:themeShade="BF"/>
          <w:sz w:val="24"/>
          <w:szCs w:val="24"/>
        </w:rPr>
        <w:t>. Продукти</w:t>
      </w:r>
      <w:bookmarkEnd w:id="6"/>
      <w:r w:rsidR="00DC16DF" w:rsidRPr="001B413B">
        <w:rPr>
          <w:rFonts w:asciiTheme="minorHAnsi" w:eastAsia="Calibri" w:hAnsiTheme="minorHAnsi" w:cstheme="minorHAnsi"/>
          <w:b/>
          <w:color w:val="365F91" w:themeColor="accent1" w:themeShade="BF"/>
          <w:sz w:val="24"/>
          <w:szCs w:val="24"/>
        </w:rPr>
        <w:t xml:space="preserve"> </w:t>
      </w:r>
    </w:p>
    <w:p w:rsidR="00DC16DF" w:rsidRPr="00AE6DEE" w:rsidRDefault="00DC16DF" w:rsidP="00DC16DF">
      <w:pPr>
        <w:spacing w:after="40" w:line="240" w:lineRule="auto"/>
        <w:ind w:firstLine="720"/>
        <w:jc w:val="both"/>
        <w:rPr>
          <w:rFonts w:eastAsia="Calibri" w:cs="Calibri"/>
          <w:sz w:val="24"/>
          <w:szCs w:val="24"/>
        </w:rPr>
      </w:pPr>
      <w:r>
        <w:rPr>
          <w:rFonts w:eastAsia="Calibri" w:cs="Calibri"/>
          <w:sz w:val="24"/>
          <w:szCs w:val="24"/>
        </w:rPr>
        <w:t xml:space="preserve">Дружеството има повече от 210 продукта в своето портфолио: основно генерици и 15 оригинални продукта, като 12 от продуктите са на растителна основа. Оригиналните продукти на Дружеството (и по-специално Карсил и Темпалгин) имат основен принос за неговите приходи от експортните пазари, докато за продажбите на местния пазар от най-голямо значение са генеричните продукти на дружеството, сред които на първо място е лекарството Аналгин. </w:t>
      </w:r>
    </w:p>
    <w:p w:rsidR="00DC16DF" w:rsidRPr="00AE6DEE" w:rsidRDefault="00DC16DF" w:rsidP="00DC16DF">
      <w:pPr>
        <w:spacing w:after="40" w:line="240" w:lineRule="auto"/>
        <w:jc w:val="both"/>
        <w:rPr>
          <w:rFonts w:eastAsia="Calibri" w:cs="Calibri"/>
          <w:sz w:val="24"/>
          <w:szCs w:val="24"/>
        </w:rPr>
      </w:pPr>
      <w:r>
        <w:rPr>
          <w:rFonts w:eastAsia="Calibri" w:cs="Calibri"/>
          <w:sz w:val="24"/>
          <w:szCs w:val="24"/>
        </w:rPr>
        <w:t>Продуктовото портфолио на Софарма АД е фокусирано върху следните терапевтични области: кардиология, гастроентерология, овладяване на болката, кашлица и настинка, имунология и дерматология, дихателни пътища и астма, неврология и психиатрия, урология и гинекология.</w:t>
      </w:r>
    </w:p>
    <w:p w:rsidR="00DC16DF" w:rsidRPr="00AE6DEE" w:rsidRDefault="00DC16DF" w:rsidP="00DC16DF">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Най-значимите фармацевтични продукти по отношение на приноса им за размера на приходите са:</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Карсил – оригинален продукт, разработен на растителна основа, използван за лечение на гастроентерологични заболявания (болести на черния дроб);</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Темпалгин – оригинален аналгетик (болкоуспокяващо);</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Табекс – оригинално лекарство на растителна основа срещу тютюнопушене;</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Трибестан – оригинален продукт на растителна основа, стимулиращ функциите на половата система;</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Бронхолитин – оригинален продукт на растителна основа, използван за потискане на кашлица;</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Аналгин – генеричен аналгетик  (болкоуспокояващо);</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Нивалин – оригинален продукт на растителна основа, използван за заболявания на периферната нервна система;</w:t>
      </w:r>
    </w:p>
    <w:p w:rsidR="00DC16DF" w:rsidRPr="00AE6DEE" w:rsidRDefault="00DC16DF" w:rsidP="00DC16DF">
      <w:pPr>
        <w:numPr>
          <w:ilvl w:val="1"/>
          <w:numId w:val="7"/>
        </w:numPr>
        <w:suppressAutoHyphens/>
        <w:autoSpaceDN w:val="0"/>
        <w:spacing w:before="40" w:after="40" w:line="240" w:lineRule="auto"/>
        <w:ind w:left="851" w:hanging="425"/>
        <w:jc w:val="both"/>
        <w:textAlignment w:val="baseline"/>
        <w:rPr>
          <w:rFonts w:eastAsia="Calibri" w:cs="Calibri"/>
          <w:sz w:val="24"/>
          <w:szCs w:val="24"/>
        </w:rPr>
      </w:pPr>
      <w:r>
        <w:rPr>
          <w:rFonts w:eastAsia="Calibri" w:cs="Calibri"/>
          <w:sz w:val="24"/>
          <w:szCs w:val="24"/>
        </w:rPr>
        <w:t>Метилпреднизолон – генерично лекарство, предназначено за случаи на тежки алергии и определени животозастрашаващи състояния.</w:t>
      </w:r>
    </w:p>
    <w:p w:rsidR="0005770E" w:rsidRDefault="0005770E">
      <w:pPr>
        <w:pStyle w:val="Heading1"/>
        <w:rPr>
          <w:rFonts w:asciiTheme="minorHAnsi" w:eastAsia="Calibri" w:hAnsiTheme="minorHAnsi" w:cstheme="minorHAnsi"/>
          <w:b/>
          <w:sz w:val="28"/>
          <w:szCs w:val="28"/>
        </w:rPr>
      </w:pPr>
      <w:bookmarkStart w:id="7" w:name="_Toc480984576"/>
    </w:p>
    <w:p w:rsidR="001A4B1B" w:rsidRDefault="002B5D06">
      <w:pPr>
        <w:pStyle w:val="Heading1"/>
      </w:pPr>
      <w:r w:rsidRPr="001B413B">
        <w:rPr>
          <w:rFonts w:asciiTheme="minorHAnsi" w:eastAsia="Calibri" w:hAnsiTheme="minorHAnsi" w:cstheme="minorHAnsi"/>
          <w:b/>
          <w:sz w:val="28"/>
          <w:szCs w:val="28"/>
          <w:lang w:val="en-US"/>
        </w:rPr>
        <w:t>II</w:t>
      </w:r>
      <w:r w:rsidR="00987DD0" w:rsidRPr="001B413B">
        <w:rPr>
          <w:rFonts w:asciiTheme="minorHAnsi" w:eastAsia="Calibri" w:hAnsiTheme="minorHAnsi" w:cstheme="minorHAnsi"/>
          <w:b/>
          <w:sz w:val="28"/>
          <w:szCs w:val="28"/>
        </w:rPr>
        <w:t>.</w:t>
      </w:r>
      <w:r w:rsidRPr="001B413B">
        <w:rPr>
          <w:rFonts w:asciiTheme="minorHAnsi" w:eastAsia="Calibri" w:hAnsiTheme="minorHAnsi" w:cstheme="minorHAnsi"/>
          <w:b/>
          <w:sz w:val="28"/>
          <w:szCs w:val="28"/>
          <w:lang w:val="en-US"/>
        </w:rPr>
        <w:t xml:space="preserve"> </w:t>
      </w:r>
      <w:r w:rsidRPr="001B413B">
        <w:rPr>
          <w:rFonts w:asciiTheme="minorHAnsi" w:eastAsia="Calibri" w:hAnsiTheme="minorHAnsi" w:cstheme="minorHAnsi"/>
          <w:b/>
          <w:sz w:val="28"/>
          <w:szCs w:val="28"/>
        </w:rPr>
        <w:t>Развитие на дейността</w:t>
      </w:r>
      <w:bookmarkEnd w:id="7"/>
    </w:p>
    <w:p w:rsidR="000A0779" w:rsidRPr="00677345" w:rsidRDefault="000A0779" w:rsidP="001B413B">
      <w:pPr>
        <w:rPr>
          <w:lang w:val="en-US"/>
        </w:rPr>
      </w:pPr>
    </w:p>
    <w:p w:rsidR="000A0779" w:rsidRDefault="00BD6F39" w:rsidP="00677345">
      <w:pPr>
        <w:pStyle w:val="Heading2"/>
        <w:rPr>
          <w:rFonts w:eastAsia="Calibri" w:cs="Calibri"/>
          <w:bCs/>
          <w:i/>
          <w:color w:val="1F497D"/>
          <w:sz w:val="24"/>
          <w:szCs w:val="24"/>
          <w:lang w:val="en-US"/>
        </w:rPr>
      </w:pPr>
      <w:bookmarkStart w:id="8" w:name="_Toc480984577"/>
      <w:r w:rsidRPr="001B413B">
        <w:rPr>
          <w:rFonts w:asciiTheme="minorHAnsi" w:hAnsiTheme="minorHAnsi" w:cstheme="minorHAnsi"/>
          <w:b/>
          <w:color w:val="365F91" w:themeColor="accent1" w:themeShade="BF"/>
          <w:sz w:val="24"/>
          <w:szCs w:val="24"/>
          <w:lang w:eastAsia="en-US"/>
        </w:rPr>
        <w:t>1.</w:t>
      </w:r>
      <w:r w:rsidR="001A4B1B" w:rsidRPr="004C46F3">
        <w:rPr>
          <w:rFonts w:asciiTheme="minorHAnsi" w:hAnsiTheme="minorHAnsi" w:cstheme="minorHAnsi"/>
          <w:b/>
          <w:color w:val="365F91" w:themeColor="accent1" w:themeShade="BF"/>
          <w:sz w:val="24"/>
          <w:szCs w:val="24"/>
          <w:lang w:eastAsia="en-US"/>
        </w:rPr>
        <w:t xml:space="preserve"> </w:t>
      </w:r>
      <w:r w:rsidR="00AD71F2" w:rsidRPr="001B413B">
        <w:rPr>
          <w:rFonts w:asciiTheme="minorHAnsi" w:hAnsiTheme="minorHAnsi" w:cstheme="minorHAnsi"/>
          <w:b/>
          <w:color w:val="365F91" w:themeColor="accent1" w:themeShade="BF"/>
          <w:sz w:val="24"/>
          <w:szCs w:val="24"/>
          <w:lang w:eastAsia="en-US"/>
        </w:rPr>
        <w:t>Преглед основни</w:t>
      </w:r>
      <w:r w:rsidR="00927E68">
        <w:rPr>
          <w:rFonts w:asciiTheme="minorHAnsi" w:hAnsiTheme="minorHAnsi" w:cstheme="minorHAnsi"/>
          <w:b/>
          <w:color w:val="365F91" w:themeColor="accent1" w:themeShade="BF"/>
          <w:sz w:val="24"/>
          <w:szCs w:val="24"/>
          <w:lang w:eastAsia="en-US"/>
        </w:rPr>
        <w:t>те</w:t>
      </w:r>
      <w:r w:rsidR="00AD71F2" w:rsidRPr="001B413B">
        <w:rPr>
          <w:rFonts w:asciiTheme="minorHAnsi" w:hAnsiTheme="minorHAnsi" w:cstheme="minorHAnsi"/>
          <w:b/>
          <w:color w:val="365F91" w:themeColor="accent1" w:themeShade="BF"/>
          <w:sz w:val="24"/>
          <w:szCs w:val="24"/>
          <w:lang w:eastAsia="en-US"/>
        </w:rPr>
        <w:t xml:space="preserve"> рискове</w:t>
      </w:r>
      <w:r w:rsidR="00530456">
        <w:rPr>
          <w:rFonts w:asciiTheme="minorHAnsi" w:hAnsiTheme="minorHAnsi" w:cstheme="minorHAnsi"/>
          <w:b/>
          <w:color w:val="365F91" w:themeColor="accent1" w:themeShade="BF"/>
          <w:sz w:val="24"/>
          <w:szCs w:val="24"/>
          <w:lang w:val="en-US" w:eastAsia="en-US"/>
        </w:rPr>
        <w:t>,</w:t>
      </w:r>
      <w:r w:rsidR="00AD71F2" w:rsidRPr="001B413B">
        <w:rPr>
          <w:rFonts w:asciiTheme="minorHAnsi" w:hAnsiTheme="minorHAnsi" w:cstheme="minorHAnsi"/>
          <w:b/>
          <w:color w:val="365F91" w:themeColor="accent1" w:themeShade="BF"/>
          <w:sz w:val="24"/>
          <w:szCs w:val="24"/>
          <w:lang w:eastAsia="en-US"/>
        </w:rPr>
        <w:t xml:space="preserve"> пред които е изправено </w:t>
      </w:r>
      <w:r w:rsidR="00BC5FDB">
        <w:rPr>
          <w:rFonts w:asciiTheme="minorHAnsi" w:hAnsiTheme="minorHAnsi" w:cstheme="minorHAnsi"/>
          <w:b/>
          <w:color w:val="365F91" w:themeColor="accent1" w:themeShade="BF"/>
          <w:sz w:val="24"/>
          <w:szCs w:val="24"/>
          <w:lang w:eastAsia="en-US"/>
        </w:rPr>
        <w:t>Дружеството</w:t>
      </w:r>
      <w:bookmarkEnd w:id="8"/>
    </w:p>
    <w:p w:rsidR="0018411E" w:rsidRPr="001B413B" w:rsidRDefault="0018411E" w:rsidP="0018411E">
      <w:pPr>
        <w:suppressAutoHyphens/>
        <w:autoSpaceDN w:val="0"/>
        <w:spacing w:before="40" w:after="40" w:line="240" w:lineRule="auto"/>
        <w:jc w:val="both"/>
        <w:textAlignment w:val="baseline"/>
        <w:rPr>
          <w:rFonts w:eastAsia="Calibri" w:cs="Calibri"/>
          <w:bCs/>
          <w:i/>
          <w:color w:val="1F497D"/>
          <w:sz w:val="24"/>
          <w:szCs w:val="24"/>
        </w:rPr>
      </w:pPr>
      <w:r w:rsidRPr="001B413B">
        <w:rPr>
          <w:rFonts w:eastAsia="Calibri" w:cs="Calibri"/>
          <w:bCs/>
          <w:i/>
          <w:color w:val="1F497D"/>
          <w:sz w:val="24"/>
          <w:szCs w:val="24"/>
        </w:rPr>
        <w:t>Рискове, свързани с бизнеса на Дружеството и с промишления отрасъл, в който Дружеството извършва дейността си</w:t>
      </w:r>
    </w:p>
    <w:p w:rsidR="0018411E" w:rsidRPr="00313D6C" w:rsidRDefault="0018411E" w:rsidP="0018411E">
      <w:pPr>
        <w:suppressAutoHyphens/>
        <w:autoSpaceDN w:val="0"/>
        <w:spacing w:before="40" w:after="40" w:line="240" w:lineRule="auto"/>
        <w:jc w:val="both"/>
        <w:textAlignment w:val="baseline"/>
        <w:rPr>
          <w:rFonts w:eastAsia="Calibri" w:cs="Calibri"/>
          <w:b/>
          <w:bCs/>
          <w:color w:val="1F497D"/>
          <w:sz w:val="24"/>
          <w:szCs w:val="24"/>
        </w:rPr>
      </w:pP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Дружеството е изложено на силна конкуренция</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Репутацията на Дружеството може да бъде неблагоприятно засегната от невярна или подвеждаща информация, включително и от публикувана на уебсайта www.sopharma.com, който не е одобрен от Дружеството</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lastRenderedPageBreak/>
        <w:t>Дружеството е зависимо от одобренията на регулаторните органи</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Възможна е промяна в  законодателството, регулиращо бизнеса на Дружеството, а това може да доведе до евентуално увеличение на разходите за спазване на изискванията или да окаже друг ефект върху неговите операции</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sidRPr="00AE6DEE">
        <w:rPr>
          <w:rFonts w:eastAsia="Calibri" w:cs="Calibri"/>
          <w:sz w:val="24"/>
          <w:szCs w:val="24"/>
        </w:rPr>
        <w:t>Част от приходите на</w:t>
      </w:r>
      <w:r>
        <w:rPr>
          <w:rFonts w:eastAsia="Calibri" w:cs="Calibri"/>
          <w:sz w:val="24"/>
          <w:szCs w:val="24"/>
        </w:rPr>
        <w:t xml:space="preserve"> Дружеството, по-специално в България, зависят от включването на лекарствата на Дружеството в реимбурсните списъци</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Производствените съоръжения и процеси на Дружеството са предмет на строги изисквания и одобрения от страна на регулаторните органи, които могат да забавят или прекъснат операциите на Дружеството</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Възможностите на Дружеството да плаща дивиденти зависят от редица фактори и няма никаква гаранция, че през дадена година то ще може да плати дивиденти в съответствие със своята дивидентна политика </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sidRPr="00AE6DEE">
        <w:rPr>
          <w:rFonts w:eastAsia="Calibri" w:cs="Calibri"/>
          <w:sz w:val="24"/>
          <w:szCs w:val="24"/>
        </w:rPr>
        <w:t>Дружеството е изложено на оперативен риск, който е присъщ на неговите бизнес дейности</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Дружеството се подчинява на множество закони и регламенти в областта на опазване на околната среда и здравословните и безопасни условия на труд и е изложено на потенциални отговорности, свързани с околната среда</w:t>
      </w:r>
    </w:p>
    <w:p w:rsidR="0018411E" w:rsidRPr="00AE6DEE" w:rsidRDefault="0018411E" w:rsidP="00F524AE">
      <w:pPr>
        <w:numPr>
          <w:ilvl w:val="0"/>
          <w:numId w:val="8"/>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Съдебни спорове или други извънсъдебни процедури или действия могат да имат неблагоприятен ефект върху бизнеса на Дружеството, финансовото му състояние или резултатите от неговите операции</w:t>
      </w:r>
    </w:p>
    <w:p w:rsidR="0018411E" w:rsidRPr="00AE6DEE" w:rsidRDefault="0018411E" w:rsidP="0018411E">
      <w:pPr>
        <w:suppressAutoHyphens/>
        <w:autoSpaceDN w:val="0"/>
        <w:spacing w:before="40" w:after="40" w:line="240" w:lineRule="auto"/>
        <w:jc w:val="both"/>
        <w:textAlignment w:val="baseline"/>
        <w:rPr>
          <w:rFonts w:eastAsia="Calibri" w:cs="Calibri"/>
          <w:bCs/>
          <w:sz w:val="24"/>
          <w:szCs w:val="24"/>
        </w:rPr>
      </w:pPr>
    </w:p>
    <w:p w:rsidR="0018411E" w:rsidRPr="00313D6C" w:rsidRDefault="0018411E" w:rsidP="0018411E">
      <w:pPr>
        <w:suppressAutoHyphens/>
        <w:autoSpaceDN w:val="0"/>
        <w:spacing w:before="40" w:after="40" w:line="240" w:lineRule="auto"/>
        <w:jc w:val="both"/>
        <w:textAlignment w:val="baseline"/>
        <w:rPr>
          <w:rFonts w:eastAsia="Calibri" w:cs="Calibri"/>
          <w:b/>
          <w:bCs/>
          <w:color w:val="1F497D"/>
          <w:sz w:val="24"/>
          <w:szCs w:val="24"/>
        </w:rPr>
      </w:pPr>
      <w:r w:rsidRPr="001B413B">
        <w:rPr>
          <w:rFonts w:eastAsia="Calibri" w:cs="Calibri"/>
          <w:bCs/>
          <w:i/>
          <w:color w:val="1F497D"/>
          <w:sz w:val="24"/>
          <w:szCs w:val="24"/>
        </w:rPr>
        <w:t xml:space="preserve">Рискове, свързани с България и другите пазари, на които </w:t>
      </w:r>
      <w:r w:rsidR="002A5821">
        <w:rPr>
          <w:rFonts w:eastAsia="Calibri" w:cs="Calibri"/>
          <w:bCs/>
          <w:i/>
          <w:color w:val="1F497D"/>
          <w:sz w:val="24"/>
          <w:szCs w:val="24"/>
        </w:rPr>
        <w:t xml:space="preserve">Дружеството </w:t>
      </w:r>
      <w:r w:rsidRPr="001B413B">
        <w:rPr>
          <w:rFonts w:eastAsia="Calibri" w:cs="Calibri"/>
          <w:bCs/>
          <w:i/>
          <w:color w:val="1F497D"/>
          <w:sz w:val="24"/>
          <w:szCs w:val="24"/>
        </w:rPr>
        <w:t>оперира</w:t>
      </w:r>
      <w:r w:rsidR="0094104A" w:rsidRPr="001B413B">
        <w:rPr>
          <w:rFonts w:eastAsia="Calibri" w:cs="Calibri"/>
          <w:bCs/>
          <w:i/>
          <w:color w:val="1F497D"/>
          <w:sz w:val="24"/>
          <w:szCs w:val="24"/>
        </w:rPr>
        <w:t xml:space="preserve"> </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Макроикономическата среда, по-специално в България, Русия и Украйна, оказва съществен ефект върху операциите на </w:t>
      </w:r>
      <w:r w:rsidR="00101E87">
        <w:rPr>
          <w:rFonts w:eastAsia="Calibri" w:cs="Calibri"/>
          <w:sz w:val="24"/>
          <w:szCs w:val="24"/>
        </w:rPr>
        <w:t xml:space="preserve">Дружеството </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Политическата обстановка в България има съществен ефект върху операциите на </w:t>
      </w:r>
      <w:r w:rsidR="00101E87">
        <w:rPr>
          <w:rFonts w:eastAsia="Calibri" w:cs="Calibri"/>
          <w:sz w:val="24"/>
          <w:szCs w:val="24"/>
        </w:rPr>
        <w:t xml:space="preserve">Дружеството </w:t>
      </w:r>
      <w:r>
        <w:rPr>
          <w:rFonts w:eastAsia="Calibri" w:cs="Calibri"/>
          <w:sz w:val="24"/>
          <w:szCs w:val="24"/>
        </w:rPr>
        <w:t xml:space="preserve">и </w:t>
      </w:r>
      <w:r w:rsidR="00101E87">
        <w:rPr>
          <w:rFonts w:eastAsia="Calibri" w:cs="Calibri"/>
          <w:sz w:val="24"/>
          <w:szCs w:val="24"/>
        </w:rPr>
        <w:t xml:space="preserve">неговото </w:t>
      </w:r>
      <w:r>
        <w:rPr>
          <w:rFonts w:eastAsia="Calibri" w:cs="Calibri"/>
          <w:sz w:val="24"/>
          <w:szCs w:val="24"/>
        </w:rPr>
        <w:t>финансово състояние</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Политическата обстановка на експортните пазари на </w:t>
      </w:r>
      <w:r w:rsidR="00B70CAC">
        <w:rPr>
          <w:rFonts w:eastAsia="Calibri" w:cs="Calibri"/>
          <w:sz w:val="24"/>
          <w:szCs w:val="24"/>
        </w:rPr>
        <w:t>Дружеството</w:t>
      </w:r>
      <w:r>
        <w:rPr>
          <w:rFonts w:eastAsia="Calibri" w:cs="Calibri"/>
          <w:sz w:val="24"/>
          <w:szCs w:val="24"/>
        </w:rPr>
        <w:t xml:space="preserve">, по-специално Русия и Украйна, оказва съществен ефект върху операциите и финансовото състояние на </w:t>
      </w:r>
      <w:r w:rsidR="00101E87">
        <w:rPr>
          <w:rFonts w:eastAsia="Calibri" w:cs="Calibri"/>
          <w:sz w:val="24"/>
          <w:szCs w:val="24"/>
        </w:rPr>
        <w:t>Дружеството</w:t>
      </w:r>
      <w:r>
        <w:rPr>
          <w:rFonts w:eastAsia="Calibri" w:cs="Calibri"/>
          <w:sz w:val="24"/>
          <w:szCs w:val="24"/>
        </w:rPr>
        <w:t>.</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Рискове, свързани с българската правна система</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Развиващите се законодателства в някои от държавите, в които </w:t>
      </w:r>
      <w:r w:rsidR="00101E87">
        <w:rPr>
          <w:rFonts w:eastAsia="Calibri" w:cs="Calibri"/>
          <w:sz w:val="24"/>
          <w:szCs w:val="24"/>
        </w:rPr>
        <w:t xml:space="preserve">Дружеството </w:t>
      </w:r>
      <w:r>
        <w:rPr>
          <w:rFonts w:eastAsia="Calibri" w:cs="Calibri"/>
          <w:sz w:val="24"/>
          <w:szCs w:val="24"/>
        </w:rPr>
        <w:t xml:space="preserve">продава продуктите си, в частност Русия и Украйна, може да повлияе негативно върху дейността </w:t>
      </w:r>
      <w:r w:rsidR="00101E87">
        <w:rPr>
          <w:rFonts w:eastAsia="Calibri" w:cs="Calibri"/>
          <w:sz w:val="24"/>
          <w:szCs w:val="24"/>
        </w:rPr>
        <w:t>му</w:t>
      </w:r>
      <w:r>
        <w:rPr>
          <w:rFonts w:eastAsia="Calibri" w:cs="Calibri"/>
          <w:sz w:val="24"/>
          <w:szCs w:val="24"/>
        </w:rPr>
        <w:t xml:space="preserve"> в тези държави</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Рискове, свързани с валутни курсове и действащия в България валутен борд</w:t>
      </w:r>
    </w:p>
    <w:p w:rsidR="0018411E" w:rsidRPr="00AE6DEE" w:rsidRDefault="0018411E" w:rsidP="00F524AE">
      <w:pPr>
        <w:numPr>
          <w:ilvl w:val="0"/>
          <w:numId w:val="9"/>
        </w:num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Тълкуване на данъчните разпоредби може да бъде неясно и данъчните закони и разпоредби, приложими спрямо </w:t>
      </w:r>
      <w:r w:rsidR="00101E87">
        <w:rPr>
          <w:rFonts w:eastAsia="Calibri" w:cs="Calibri"/>
          <w:sz w:val="24"/>
          <w:szCs w:val="24"/>
        </w:rPr>
        <w:t>Дружеството</w:t>
      </w:r>
      <w:r>
        <w:rPr>
          <w:rFonts w:eastAsia="Calibri" w:cs="Calibri"/>
          <w:sz w:val="24"/>
          <w:szCs w:val="24"/>
        </w:rPr>
        <w:t>, може да бъдат изменени</w:t>
      </w:r>
    </w:p>
    <w:p w:rsidR="0018411E" w:rsidRPr="004F0451" w:rsidRDefault="0018411E" w:rsidP="0018411E">
      <w:pPr>
        <w:suppressAutoHyphens/>
        <w:autoSpaceDN w:val="0"/>
        <w:spacing w:before="40" w:after="40" w:line="240" w:lineRule="auto"/>
        <w:jc w:val="both"/>
        <w:textAlignment w:val="baseline"/>
        <w:rPr>
          <w:rFonts w:eastAsia="Calibri" w:cs="Calibri"/>
          <w:bCs/>
          <w:iCs/>
          <w:color w:val="1F497D"/>
          <w:sz w:val="24"/>
          <w:szCs w:val="24"/>
        </w:rPr>
      </w:pPr>
    </w:p>
    <w:p w:rsidR="0018411E" w:rsidRPr="001B413B" w:rsidRDefault="0018411E" w:rsidP="0018411E">
      <w:pPr>
        <w:suppressAutoHyphens/>
        <w:autoSpaceDN w:val="0"/>
        <w:spacing w:before="40" w:after="40" w:line="240" w:lineRule="auto"/>
        <w:jc w:val="both"/>
        <w:textAlignment w:val="baseline"/>
        <w:rPr>
          <w:rFonts w:eastAsia="Calibri" w:cs="Calibri"/>
          <w:bCs/>
          <w:i/>
          <w:iCs/>
          <w:color w:val="1F497D"/>
          <w:sz w:val="24"/>
          <w:szCs w:val="24"/>
        </w:rPr>
      </w:pPr>
      <w:r w:rsidRPr="001B413B">
        <w:rPr>
          <w:rFonts w:eastAsia="Calibri" w:cs="Calibri"/>
          <w:bCs/>
          <w:i/>
          <w:iCs/>
          <w:color w:val="1F497D"/>
          <w:sz w:val="24"/>
          <w:szCs w:val="24"/>
        </w:rPr>
        <w:t>Валутен риск</w:t>
      </w:r>
    </w:p>
    <w:p w:rsidR="0018411E" w:rsidRPr="00896B97" w:rsidRDefault="0018411E" w:rsidP="001B413B">
      <w:pPr>
        <w:suppressAutoHyphens/>
        <w:autoSpaceDN w:val="0"/>
        <w:spacing w:before="40" w:after="40" w:line="240" w:lineRule="auto"/>
        <w:ind w:firstLine="720"/>
        <w:jc w:val="both"/>
        <w:textAlignment w:val="baseline"/>
        <w:rPr>
          <w:rFonts w:eastAsia="Calibri" w:cs="Calibri"/>
          <w:bCs/>
          <w:iCs/>
          <w:sz w:val="24"/>
          <w:szCs w:val="24"/>
        </w:rPr>
      </w:pPr>
      <w:r>
        <w:rPr>
          <w:rFonts w:eastAsia="Calibri" w:cs="Calibri"/>
          <w:bCs/>
          <w:iCs/>
          <w:sz w:val="24"/>
          <w:szCs w:val="24"/>
        </w:rPr>
        <w:t xml:space="preserve">Дружеството извършва своята дейност при активен обмен с чуждестранни доставчици и </w:t>
      </w:r>
      <w:r w:rsidRPr="00AE6DEE">
        <w:rPr>
          <w:rFonts w:eastAsia="Calibri" w:cs="Calibri"/>
          <w:bCs/>
          <w:iCs/>
          <w:sz w:val="24"/>
          <w:szCs w:val="24"/>
        </w:rPr>
        <w:t>клиенти. Поради то</w:t>
      </w:r>
      <w:r>
        <w:rPr>
          <w:rFonts w:eastAsia="Calibri" w:cs="Calibri"/>
          <w:bCs/>
          <w:iCs/>
          <w:sz w:val="24"/>
          <w:szCs w:val="24"/>
        </w:rPr>
        <w:t>ва то е изложено на валутен риск, основно спрямо щатския долар.</w:t>
      </w:r>
      <w:r>
        <w:t xml:space="preserve"> </w:t>
      </w:r>
      <w:r>
        <w:rPr>
          <w:sz w:val="24"/>
          <w:szCs w:val="24"/>
        </w:rPr>
        <w:t xml:space="preserve">Дружеството доставя част от основните си суровини и материали в щатски </w:t>
      </w:r>
      <w:r>
        <w:rPr>
          <w:sz w:val="24"/>
          <w:szCs w:val="24"/>
        </w:rPr>
        <w:lastRenderedPageBreak/>
        <w:t>долари.</w:t>
      </w:r>
      <w:r>
        <w:rPr>
          <w:rFonts w:eastAsia="Calibri" w:cs="Calibri"/>
          <w:bCs/>
          <w:iCs/>
          <w:sz w:val="24"/>
          <w:szCs w:val="24"/>
        </w:rPr>
        <w:t xml:space="preserve"> Валутният риск е свързан с негативното движение на валутния курс на щатския долар спрямо българския лев при бъдещите стопански операции, по признатите валутни активи и пасиви, и относно нетните инвестиции в чуждестранни дружества</w:t>
      </w:r>
      <w:r>
        <w:rPr>
          <w:rFonts w:eastAsia="Calibri" w:cs="Calibri"/>
          <w:bCs/>
          <w:i/>
          <w:iCs/>
          <w:sz w:val="24"/>
          <w:szCs w:val="24"/>
        </w:rPr>
        <w:t>.</w:t>
      </w:r>
      <w:r>
        <w:rPr>
          <w:rFonts w:eastAsia="Calibri" w:cs="Calibri"/>
          <w:bCs/>
          <w:iCs/>
          <w:sz w:val="24"/>
          <w:szCs w:val="24"/>
        </w:rPr>
        <w:t xml:space="preserve"> Останалата част от операциите на дружеството обичайно са деноминирани в български лева и/или в евро. </w:t>
      </w:r>
      <w:r w:rsidRPr="00896B97">
        <w:rPr>
          <w:rFonts w:eastAsia="Calibri" w:cs="Calibri"/>
          <w:bCs/>
          <w:iCs/>
          <w:sz w:val="24"/>
          <w:szCs w:val="24"/>
        </w:rPr>
        <w:t>Дружеството реализира част от своята готова продукция в Русия в евро и по този начин елиминира валутния риск, свързан с обезценката на руската рубла. В евро са деноминирани и разчетите с дъщерните дружества в Украйна. Въпреки това, с цел минимизиране на валутния риск</w:t>
      </w:r>
      <w:r w:rsidR="00B70CAC">
        <w:rPr>
          <w:rFonts w:eastAsia="Calibri" w:cs="Calibri"/>
          <w:bCs/>
          <w:iCs/>
          <w:sz w:val="24"/>
          <w:szCs w:val="24"/>
        </w:rPr>
        <w:t>,</w:t>
      </w:r>
      <w:r w:rsidRPr="00896B97">
        <w:rPr>
          <w:rFonts w:eastAsia="Calibri" w:cs="Calibri"/>
          <w:bCs/>
          <w:iCs/>
          <w:sz w:val="24"/>
          <w:szCs w:val="24"/>
        </w:rPr>
        <w:t xml:space="preserve"> </w:t>
      </w:r>
      <w:r w:rsidR="00B70CAC">
        <w:rPr>
          <w:rFonts w:eastAsia="Calibri" w:cs="Calibri"/>
          <w:bCs/>
          <w:iCs/>
          <w:sz w:val="24"/>
          <w:szCs w:val="24"/>
        </w:rPr>
        <w:t>Д</w:t>
      </w:r>
      <w:r w:rsidRPr="00896B97">
        <w:rPr>
          <w:rFonts w:eastAsia="Calibri" w:cs="Calibri"/>
          <w:bCs/>
          <w:iCs/>
          <w:sz w:val="24"/>
          <w:szCs w:val="24"/>
        </w:rPr>
        <w:t xml:space="preserve">ружеството провежда чрез дъщерните си дружества валутна политика, включваща прилагането на авансови плащания и съкращаване на сроковете на отложено плащане и незабавно превалутиране в евро на постъпленията в местна валута, както и залагане на по-високи търговски надценки с цел компенсиране на евентуална бъдеща обезценка на гривната. </w:t>
      </w:r>
    </w:p>
    <w:p w:rsidR="0018411E" w:rsidRPr="00AE6DEE" w:rsidRDefault="0018411E" w:rsidP="0018411E">
      <w:pPr>
        <w:suppressAutoHyphens/>
        <w:autoSpaceDN w:val="0"/>
        <w:spacing w:before="40" w:after="40" w:line="240" w:lineRule="auto"/>
        <w:jc w:val="both"/>
        <w:textAlignment w:val="baseline"/>
        <w:rPr>
          <w:rFonts w:eastAsia="Calibri" w:cs="Calibri"/>
          <w:bCs/>
          <w:iCs/>
          <w:sz w:val="24"/>
          <w:szCs w:val="24"/>
        </w:rPr>
      </w:pPr>
      <w:r w:rsidRPr="00AE6DEE">
        <w:rPr>
          <w:rFonts w:eastAsia="Calibri" w:cs="Calibri"/>
          <w:bCs/>
          <w:iCs/>
          <w:sz w:val="24"/>
          <w:szCs w:val="24"/>
        </w:rPr>
        <w:t>За контролиране на валутния риск в дружеството има въведена система на планиране на доставките от внос, за продажбите във чуждестранна валута, както и процедури за ежедневно наблюдение на движенията във валутния курс на щатския до</w:t>
      </w:r>
      <w:r>
        <w:rPr>
          <w:rFonts w:eastAsia="Calibri" w:cs="Calibri"/>
          <w:bCs/>
          <w:iCs/>
          <w:sz w:val="24"/>
          <w:szCs w:val="24"/>
        </w:rPr>
        <w:t xml:space="preserve">лар и контрол </w:t>
      </w:r>
      <w:r w:rsidRPr="00AE6DEE">
        <w:rPr>
          <w:rFonts w:eastAsia="Calibri" w:cs="Calibri"/>
          <w:bCs/>
          <w:iCs/>
          <w:sz w:val="24"/>
          <w:szCs w:val="24"/>
        </w:rPr>
        <w:t>върху предстоящи плащания.</w:t>
      </w:r>
    </w:p>
    <w:p w:rsidR="0018411E" w:rsidRPr="00313D6C" w:rsidRDefault="0018411E" w:rsidP="0018411E">
      <w:pPr>
        <w:suppressAutoHyphens/>
        <w:autoSpaceDN w:val="0"/>
        <w:spacing w:before="40" w:after="40" w:line="240" w:lineRule="auto"/>
        <w:jc w:val="both"/>
        <w:textAlignment w:val="baseline"/>
        <w:rPr>
          <w:rFonts w:eastAsia="Calibri" w:cs="Calibri"/>
          <w:b/>
          <w:bCs/>
          <w:iCs/>
          <w:color w:val="1F497D"/>
          <w:sz w:val="24"/>
          <w:szCs w:val="24"/>
        </w:rPr>
      </w:pPr>
    </w:p>
    <w:p w:rsidR="00B01B27" w:rsidRDefault="0018411E" w:rsidP="001B413B">
      <w:pPr>
        <w:pStyle w:val="Heading2"/>
        <w:jc w:val="both"/>
        <w:rPr>
          <w:rFonts w:asciiTheme="minorHAnsi" w:hAnsiTheme="minorHAnsi" w:cstheme="minorHAnsi"/>
          <w:b/>
          <w:color w:val="365F91" w:themeColor="accent1" w:themeShade="BF"/>
          <w:sz w:val="24"/>
          <w:szCs w:val="24"/>
          <w:lang w:eastAsia="en-US"/>
        </w:rPr>
      </w:pPr>
      <w:bookmarkStart w:id="9" w:name="_Toc480984578"/>
      <w:r w:rsidRPr="001B413B">
        <w:rPr>
          <w:rFonts w:asciiTheme="minorHAnsi" w:eastAsiaTheme="minorEastAsia" w:hAnsiTheme="minorHAnsi" w:cstheme="minorHAnsi"/>
          <w:b/>
          <w:color w:val="365F91" w:themeColor="accent1" w:themeShade="BF"/>
          <w:sz w:val="24"/>
          <w:szCs w:val="24"/>
        </w:rPr>
        <w:t xml:space="preserve">2. </w:t>
      </w:r>
      <w:r w:rsidR="003000AF">
        <w:rPr>
          <w:rFonts w:asciiTheme="minorHAnsi" w:eastAsiaTheme="minorEastAsia" w:hAnsiTheme="minorHAnsi" w:cstheme="minorHAnsi"/>
          <w:b/>
          <w:color w:val="365F91" w:themeColor="accent1" w:themeShade="BF"/>
          <w:sz w:val="24"/>
          <w:szCs w:val="24"/>
        </w:rPr>
        <w:t>Преглед на дейността</w:t>
      </w:r>
      <w:bookmarkEnd w:id="9"/>
      <w:r w:rsidR="003000AF">
        <w:rPr>
          <w:rFonts w:asciiTheme="minorHAnsi" w:eastAsiaTheme="minorEastAsia" w:hAnsiTheme="minorHAnsi" w:cstheme="minorHAnsi"/>
          <w:b/>
          <w:color w:val="365F91" w:themeColor="accent1" w:themeShade="BF"/>
          <w:sz w:val="24"/>
          <w:szCs w:val="24"/>
        </w:rPr>
        <w:t xml:space="preserve"> </w:t>
      </w:r>
    </w:p>
    <w:p w:rsidR="00927E68" w:rsidRPr="008A1F43" w:rsidRDefault="00927E68" w:rsidP="00927E68">
      <w:pPr>
        <w:keepNext/>
        <w:spacing w:before="40" w:after="40" w:line="240" w:lineRule="auto"/>
        <w:jc w:val="both"/>
        <w:rPr>
          <w:rFonts w:cs="Calibri"/>
          <w:i/>
          <w:color w:val="1F497D"/>
          <w:sz w:val="24"/>
          <w:szCs w:val="24"/>
          <w:lang w:val="en-US" w:eastAsia="en-US"/>
        </w:rPr>
      </w:pPr>
      <w:r w:rsidRPr="008A1F43">
        <w:rPr>
          <w:rFonts w:cs="Calibri"/>
          <w:i/>
          <w:color w:val="1F497D"/>
          <w:sz w:val="24"/>
          <w:szCs w:val="24"/>
          <w:lang w:eastAsia="en-US"/>
        </w:rPr>
        <w:t>Основни финансови показатели</w:t>
      </w:r>
    </w:p>
    <w:p w:rsidR="00927E68" w:rsidRPr="008A1F43" w:rsidRDefault="00927E68" w:rsidP="00927E68">
      <w:pPr>
        <w:keepNext/>
        <w:suppressAutoHyphens/>
        <w:autoSpaceDN w:val="0"/>
        <w:spacing w:before="40" w:after="40" w:line="240" w:lineRule="auto"/>
        <w:jc w:val="both"/>
        <w:textAlignment w:val="baseline"/>
        <w:rPr>
          <w:rFonts w:eastAsia="Calibri"/>
          <w:lang w:eastAsia="en-US"/>
        </w:rPr>
      </w:pPr>
      <w:r w:rsidRPr="008A1F43">
        <w:rPr>
          <w:rFonts w:eastAsia="Calibri"/>
          <w:lang w:eastAsia="en-US"/>
        </w:rPr>
        <w:fldChar w:fldCharType="begin"/>
      </w:r>
      <w:r w:rsidRPr="008A1F43">
        <w:rPr>
          <w:rFonts w:eastAsia="Calibri"/>
          <w:lang w:eastAsia="en-US"/>
        </w:rPr>
        <w:instrText xml:space="preserve"> LINK Excel.Sheet.8 "D:\\Users\\EKostov\\Documents\\Copy of 2011otchet_adv.xls" Sheet1!R1C1:R12C4 \a \f 4 \h  \* MERGEFORMAT </w:instrText>
      </w:r>
      <w:r w:rsidRPr="008A1F43">
        <w:rPr>
          <w:rFonts w:eastAsia="Calibri"/>
          <w:lang w:eastAsia="en-US"/>
        </w:rPr>
        <w:fldChar w:fldCharType="separate"/>
      </w:r>
    </w:p>
    <w:tbl>
      <w:tblPr>
        <w:tblW w:w="9490" w:type="dxa"/>
        <w:tblInd w:w="108" w:type="dxa"/>
        <w:tblLook w:val="04A0" w:firstRow="1" w:lastRow="0" w:firstColumn="1" w:lastColumn="0" w:noHBand="0" w:noVBand="1"/>
      </w:tblPr>
      <w:tblGrid>
        <w:gridCol w:w="5916"/>
        <w:gridCol w:w="1128"/>
        <w:gridCol w:w="1249"/>
        <w:gridCol w:w="1197"/>
      </w:tblGrid>
      <w:tr w:rsidR="0072459B" w:rsidRPr="008A1F43" w:rsidTr="00893A2E">
        <w:trPr>
          <w:trHeight w:val="239"/>
        </w:trPr>
        <w:tc>
          <w:tcPr>
            <w:tcW w:w="5954" w:type="dxa"/>
            <w:vMerge w:val="restart"/>
            <w:vAlign w:val="center"/>
            <w:hideMark/>
          </w:tcPr>
          <w:p w:rsidR="00927E68" w:rsidRPr="008A1F43" w:rsidRDefault="00927E68" w:rsidP="000A0779">
            <w:pPr>
              <w:keepNext/>
              <w:spacing w:after="0" w:line="240" w:lineRule="auto"/>
              <w:jc w:val="center"/>
              <w:rPr>
                <w:rFonts w:eastAsia="Times New Roman" w:cs="Calibri"/>
                <w:b/>
                <w:bCs/>
                <w:sz w:val="20"/>
                <w:szCs w:val="20"/>
                <w:lang w:eastAsia="en-US"/>
              </w:rPr>
            </w:pPr>
            <w:r w:rsidRPr="008A1F43">
              <w:rPr>
                <w:rFonts w:eastAsia="Times New Roman" w:cs="Calibri"/>
                <w:b/>
                <w:bCs/>
                <w:sz w:val="20"/>
                <w:szCs w:val="20"/>
                <w:lang w:eastAsia="en-US"/>
              </w:rPr>
              <w:t>Показатели</w:t>
            </w:r>
          </w:p>
        </w:tc>
        <w:tc>
          <w:tcPr>
            <w:tcW w:w="1076" w:type="dxa"/>
            <w:shd w:val="clear" w:color="auto" w:fill="DCE6F1"/>
            <w:noWrap/>
            <w:vAlign w:val="bottom"/>
            <w:hideMark/>
          </w:tcPr>
          <w:p w:rsidR="00927E68" w:rsidRPr="007B205E" w:rsidRDefault="00927E68" w:rsidP="008134D0">
            <w:pPr>
              <w:keepNext/>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1-</w:t>
            </w:r>
            <w:r w:rsidR="008134D0">
              <w:rPr>
                <w:rFonts w:eastAsia="Times New Roman" w:cs="Calibri"/>
                <w:b/>
                <w:bCs/>
                <w:sz w:val="20"/>
                <w:szCs w:val="20"/>
                <w:lang w:val="en-US" w:eastAsia="en-US"/>
              </w:rPr>
              <w:t>6</w:t>
            </w:r>
            <w:r w:rsidRPr="008A1F43">
              <w:rPr>
                <w:rFonts w:eastAsia="Times New Roman" w:cs="Calibri"/>
                <w:b/>
                <w:bCs/>
                <w:sz w:val="20"/>
                <w:szCs w:val="20"/>
                <w:lang w:eastAsia="en-US"/>
              </w:rPr>
              <w:t>/201</w:t>
            </w:r>
            <w:r>
              <w:rPr>
                <w:rFonts w:eastAsia="Times New Roman" w:cs="Calibri"/>
                <w:b/>
                <w:bCs/>
                <w:sz w:val="20"/>
                <w:szCs w:val="20"/>
                <w:lang w:val="en-US" w:eastAsia="en-US"/>
              </w:rPr>
              <w:t>7</w:t>
            </w:r>
          </w:p>
        </w:tc>
        <w:tc>
          <w:tcPr>
            <w:tcW w:w="1256" w:type="dxa"/>
            <w:shd w:val="clear" w:color="auto" w:fill="C5D9F1"/>
            <w:noWrap/>
            <w:vAlign w:val="bottom"/>
            <w:hideMark/>
          </w:tcPr>
          <w:p w:rsidR="00927E68" w:rsidRPr="007B205E" w:rsidRDefault="00927E68" w:rsidP="008134D0">
            <w:pPr>
              <w:keepNext/>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1-</w:t>
            </w:r>
            <w:r w:rsidR="008134D0">
              <w:rPr>
                <w:rFonts w:eastAsia="Times New Roman" w:cs="Calibri"/>
                <w:b/>
                <w:bCs/>
                <w:sz w:val="20"/>
                <w:szCs w:val="20"/>
                <w:lang w:val="en-US" w:eastAsia="en-US"/>
              </w:rPr>
              <w:t>6</w:t>
            </w:r>
            <w:r w:rsidRPr="008A1F43">
              <w:rPr>
                <w:rFonts w:eastAsia="Times New Roman" w:cs="Calibri"/>
                <w:b/>
                <w:bCs/>
                <w:sz w:val="20"/>
                <w:szCs w:val="20"/>
                <w:lang w:eastAsia="en-US"/>
              </w:rPr>
              <w:t>/201</w:t>
            </w:r>
            <w:r>
              <w:rPr>
                <w:rFonts w:eastAsia="Times New Roman" w:cs="Calibri"/>
                <w:b/>
                <w:bCs/>
                <w:sz w:val="20"/>
                <w:szCs w:val="20"/>
                <w:lang w:val="en-US" w:eastAsia="en-US"/>
              </w:rPr>
              <w:t>6</w:t>
            </w:r>
          </w:p>
        </w:tc>
        <w:tc>
          <w:tcPr>
            <w:tcW w:w="1204" w:type="dxa"/>
            <w:noWrap/>
            <w:vAlign w:val="center"/>
            <w:hideMark/>
          </w:tcPr>
          <w:p w:rsidR="00927E68" w:rsidRPr="008A1F43" w:rsidRDefault="00927E68" w:rsidP="000A0779">
            <w:pPr>
              <w:keepNext/>
              <w:spacing w:after="0" w:line="240" w:lineRule="auto"/>
              <w:jc w:val="right"/>
              <w:rPr>
                <w:rFonts w:eastAsia="Times New Roman" w:cs="Calibri"/>
                <w:b/>
                <w:bCs/>
                <w:sz w:val="20"/>
                <w:szCs w:val="20"/>
                <w:lang w:eastAsia="en-US"/>
              </w:rPr>
            </w:pPr>
            <w:r w:rsidRPr="008A1F43">
              <w:rPr>
                <w:rFonts w:eastAsia="Times New Roman" w:cs="Calibri"/>
                <w:b/>
                <w:bCs/>
                <w:sz w:val="20"/>
                <w:szCs w:val="20"/>
                <w:lang w:eastAsia="en-US"/>
              </w:rPr>
              <w:t>промяна</w:t>
            </w:r>
          </w:p>
        </w:tc>
      </w:tr>
      <w:tr w:rsidR="0072459B" w:rsidRPr="008A1F43" w:rsidTr="00893A2E">
        <w:trPr>
          <w:trHeight w:val="239"/>
        </w:trPr>
        <w:tc>
          <w:tcPr>
            <w:tcW w:w="5954" w:type="dxa"/>
            <w:vMerge/>
            <w:vAlign w:val="center"/>
            <w:hideMark/>
          </w:tcPr>
          <w:p w:rsidR="00927E68" w:rsidRPr="008A1F43" w:rsidRDefault="00927E68" w:rsidP="000A0779">
            <w:pPr>
              <w:spacing w:after="0" w:line="240" w:lineRule="auto"/>
              <w:rPr>
                <w:rFonts w:eastAsia="Times New Roman" w:cs="Calibri"/>
                <w:b/>
                <w:bCs/>
                <w:sz w:val="20"/>
                <w:szCs w:val="20"/>
                <w:lang w:eastAsia="en-US"/>
              </w:rPr>
            </w:pPr>
          </w:p>
        </w:tc>
        <w:tc>
          <w:tcPr>
            <w:tcW w:w="1076" w:type="dxa"/>
            <w:shd w:val="clear" w:color="auto" w:fill="DCE6F1"/>
            <w:noWrap/>
            <w:vAlign w:val="bottom"/>
            <w:hideMark/>
          </w:tcPr>
          <w:p w:rsidR="00927E68" w:rsidRPr="008A1F43" w:rsidRDefault="00927E68" w:rsidP="000A0779">
            <w:pPr>
              <w:keepNext/>
              <w:spacing w:after="0" w:line="240" w:lineRule="auto"/>
              <w:jc w:val="right"/>
              <w:rPr>
                <w:rFonts w:eastAsia="Times New Roman" w:cs="Calibri"/>
                <w:b/>
                <w:bCs/>
                <w:i/>
                <w:iCs/>
                <w:sz w:val="20"/>
                <w:szCs w:val="20"/>
                <w:lang w:eastAsia="en-US"/>
              </w:rPr>
            </w:pPr>
            <w:r w:rsidRPr="008A1F43">
              <w:rPr>
                <w:rFonts w:eastAsia="Times New Roman" w:cs="Calibri"/>
                <w:b/>
                <w:bCs/>
                <w:i/>
                <w:iCs/>
                <w:sz w:val="20"/>
                <w:szCs w:val="20"/>
                <w:lang w:eastAsia="en-US"/>
              </w:rPr>
              <w:t>BGN '000</w:t>
            </w:r>
          </w:p>
        </w:tc>
        <w:tc>
          <w:tcPr>
            <w:tcW w:w="1256" w:type="dxa"/>
            <w:shd w:val="clear" w:color="auto" w:fill="C5D9F1"/>
            <w:noWrap/>
            <w:vAlign w:val="bottom"/>
            <w:hideMark/>
          </w:tcPr>
          <w:p w:rsidR="00927E68" w:rsidRPr="008A1F43" w:rsidRDefault="00927E68" w:rsidP="000A0779">
            <w:pPr>
              <w:keepNext/>
              <w:spacing w:after="0" w:line="240" w:lineRule="auto"/>
              <w:jc w:val="right"/>
              <w:rPr>
                <w:rFonts w:eastAsia="Times New Roman" w:cs="Calibri"/>
                <w:b/>
                <w:bCs/>
                <w:i/>
                <w:iCs/>
                <w:sz w:val="20"/>
                <w:szCs w:val="20"/>
                <w:lang w:eastAsia="en-US"/>
              </w:rPr>
            </w:pPr>
            <w:r w:rsidRPr="008A1F43">
              <w:rPr>
                <w:rFonts w:eastAsia="Times New Roman" w:cs="Calibri"/>
                <w:b/>
                <w:bCs/>
                <w:i/>
                <w:iCs/>
                <w:sz w:val="20"/>
                <w:szCs w:val="20"/>
                <w:lang w:eastAsia="en-US"/>
              </w:rPr>
              <w:t>BGN '000</w:t>
            </w:r>
          </w:p>
        </w:tc>
        <w:tc>
          <w:tcPr>
            <w:tcW w:w="1204" w:type="dxa"/>
            <w:noWrap/>
            <w:vAlign w:val="bottom"/>
            <w:hideMark/>
          </w:tcPr>
          <w:p w:rsidR="00927E68" w:rsidRPr="008A1F43" w:rsidRDefault="00927E68" w:rsidP="000A0779">
            <w:pPr>
              <w:keepNext/>
              <w:spacing w:after="0" w:line="240" w:lineRule="auto"/>
              <w:jc w:val="right"/>
              <w:rPr>
                <w:rFonts w:eastAsia="Times New Roman" w:cs="Calibri"/>
                <w:b/>
                <w:bCs/>
                <w:sz w:val="20"/>
                <w:szCs w:val="20"/>
                <w:lang w:eastAsia="en-US"/>
              </w:rPr>
            </w:pPr>
            <w:r w:rsidRPr="008A1F43">
              <w:rPr>
                <w:rFonts w:eastAsia="Times New Roman" w:cs="Calibri"/>
                <w:b/>
                <w:bCs/>
                <w:sz w:val="20"/>
                <w:szCs w:val="20"/>
                <w:lang w:eastAsia="en-US"/>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Приходи от продажби</w:t>
            </w:r>
          </w:p>
        </w:tc>
        <w:tc>
          <w:tcPr>
            <w:tcW w:w="1076" w:type="dxa"/>
            <w:shd w:val="clear" w:color="auto" w:fill="DCE6F1"/>
            <w:vAlign w:val="bottom"/>
            <w:hideMark/>
          </w:tcPr>
          <w:p w:rsidR="00927E68" w:rsidRPr="008A1F43" w:rsidRDefault="008134D0" w:rsidP="000A0779">
            <w:pPr>
              <w:keepNext/>
              <w:spacing w:after="0" w:line="240" w:lineRule="auto"/>
              <w:jc w:val="right"/>
              <w:rPr>
                <w:rFonts w:eastAsia="Times New Roman" w:cs="Calibri"/>
                <w:sz w:val="20"/>
                <w:szCs w:val="20"/>
                <w:lang w:eastAsia="en-US"/>
              </w:rPr>
            </w:pPr>
            <w:r w:rsidRPr="008134D0">
              <w:rPr>
                <w:rFonts w:eastAsia="Times New Roman" w:cs="Calibri"/>
                <w:sz w:val="20"/>
                <w:szCs w:val="20"/>
                <w:lang w:eastAsia="en-US"/>
              </w:rPr>
              <w:t>93 307</w:t>
            </w:r>
          </w:p>
        </w:tc>
        <w:tc>
          <w:tcPr>
            <w:tcW w:w="1256" w:type="dxa"/>
            <w:shd w:val="clear" w:color="auto" w:fill="C5D9F1"/>
            <w:vAlign w:val="bottom"/>
            <w:hideMark/>
          </w:tcPr>
          <w:p w:rsidR="00927E68" w:rsidRPr="008A1F43" w:rsidRDefault="008134D0" w:rsidP="000A0779">
            <w:pPr>
              <w:keepNext/>
              <w:spacing w:after="0" w:line="240" w:lineRule="auto"/>
              <w:jc w:val="right"/>
              <w:rPr>
                <w:rFonts w:eastAsia="Times New Roman" w:cs="Calibri"/>
                <w:sz w:val="20"/>
                <w:szCs w:val="20"/>
                <w:lang w:eastAsia="en-US"/>
              </w:rPr>
            </w:pPr>
            <w:r w:rsidRPr="008134D0">
              <w:rPr>
                <w:rFonts w:eastAsia="Times New Roman" w:cs="Calibri"/>
                <w:sz w:val="20"/>
                <w:szCs w:val="20"/>
                <w:lang w:eastAsia="en-US"/>
              </w:rPr>
              <w:t>78 930</w:t>
            </w:r>
          </w:p>
        </w:tc>
        <w:tc>
          <w:tcPr>
            <w:tcW w:w="1204" w:type="dxa"/>
            <w:noWrap/>
            <w:vAlign w:val="center"/>
            <w:hideMark/>
          </w:tcPr>
          <w:p w:rsidR="00927E68" w:rsidRPr="008A1F43" w:rsidRDefault="00927E68" w:rsidP="00AA1346">
            <w:pPr>
              <w:keepNext/>
              <w:spacing w:after="0" w:line="240" w:lineRule="auto"/>
              <w:jc w:val="right"/>
              <w:rPr>
                <w:rFonts w:eastAsia="Calibri" w:cs="Arial"/>
                <w:sz w:val="20"/>
                <w:szCs w:val="20"/>
                <w:lang w:eastAsia="en-US"/>
              </w:rPr>
            </w:pPr>
            <w:r>
              <w:rPr>
                <w:rFonts w:cs="Arial"/>
                <w:sz w:val="20"/>
                <w:szCs w:val="20"/>
                <w:lang w:val="en-US"/>
              </w:rPr>
              <w:t>1</w:t>
            </w:r>
            <w:r w:rsidR="00AA1346">
              <w:rPr>
                <w:rFonts w:cs="Arial"/>
                <w:sz w:val="20"/>
                <w:szCs w:val="20"/>
                <w:lang w:val="en-US"/>
              </w:rPr>
              <w:t>8</w:t>
            </w:r>
            <w:r w:rsidRPr="008A1F43">
              <w:rPr>
                <w:rFonts w:cs="Arial"/>
                <w:sz w:val="20"/>
                <w:szCs w:val="20"/>
                <w:lang w:val="en-US"/>
              </w:rPr>
              <w:t>,</w:t>
            </w:r>
            <w:r>
              <w:rPr>
                <w:rFonts w:cs="Arial"/>
                <w:sz w:val="20"/>
                <w:szCs w:val="20"/>
                <w:lang w:val="en-US"/>
              </w:rPr>
              <w:t>2</w:t>
            </w:r>
            <w:r w:rsidRPr="008A1F43">
              <w:rPr>
                <w:rFonts w:cs="Arial"/>
                <w:sz w:val="20"/>
                <w:szCs w:val="20"/>
              </w:rPr>
              <w:t>%</w:t>
            </w:r>
          </w:p>
        </w:tc>
      </w:tr>
      <w:tr w:rsidR="0072459B" w:rsidRPr="008A1F43" w:rsidTr="00893A2E">
        <w:trPr>
          <w:trHeight w:val="316"/>
        </w:trPr>
        <w:tc>
          <w:tcPr>
            <w:tcW w:w="5954" w:type="dxa"/>
            <w:vAlign w:val="bottom"/>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Печалба преди лихви, данъци и амортизация (EBITDA)</w:t>
            </w:r>
          </w:p>
        </w:tc>
        <w:tc>
          <w:tcPr>
            <w:tcW w:w="1076" w:type="dxa"/>
            <w:shd w:val="clear" w:color="auto" w:fill="DCE6F1"/>
            <w:vAlign w:val="bottom"/>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32 048</w:t>
            </w:r>
          </w:p>
        </w:tc>
        <w:tc>
          <w:tcPr>
            <w:tcW w:w="1256" w:type="dxa"/>
            <w:shd w:val="clear" w:color="auto" w:fill="C5D9F1"/>
            <w:vAlign w:val="bottom"/>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21 318</w:t>
            </w:r>
          </w:p>
        </w:tc>
        <w:tc>
          <w:tcPr>
            <w:tcW w:w="1204" w:type="dxa"/>
            <w:noWrap/>
            <w:vAlign w:val="center"/>
          </w:tcPr>
          <w:p w:rsidR="00927E68" w:rsidRPr="008A1F43" w:rsidRDefault="00AA1346" w:rsidP="000A0779">
            <w:pPr>
              <w:keepNext/>
              <w:spacing w:after="0" w:line="240" w:lineRule="auto"/>
              <w:jc w:val="right"/>
              <w:rPr>
                <w:rFonts w:cs="Arial"/>
                <w:sz w:val="20"/>
                <w:szCs w:val="20"/>
              </w:rPr>
            </w:pPr>
            <w:r>
              <w:rPr>
                <w:rFonts w:cs="Arial"/>
                <w:sz w:val="20"/>
                <w:szCs w:val="20"/>
                <w:lang w:val="en-US"/>
              </w:rPr>
              <w:t>5</w:t>
            </w:r>
            <w:r w:rsidR="00927E68">
              <w:rPr>
                <w:rFonts w:cs="Arial"/>
                <w:sz w:val="20"/>
                <w:szCs w:val="20"/>
                <w:lang w:val="en-US"/>
              </w:rPr>
              <w:t>0</w:t>
            </w:r>
            <w:r>
              <w:rPr>
                <w:rFonts w:cs="Arial"/>
                <w:sz w:val="20"/>
                <w:szCs w:val="20"/>
                <w:lang w:val="en-US"/>
              </w:rPr>
              <w:t>,3</w:t>
            </w:r>
            <w:r w:rsidR="00927E68" w:rsidRPr="008A1F43">
              <w:rPr>
                <w:rFonts w:cs="Arial"/>
                <w:sz w:val="20"/>
                <w:szCs w:val="20"/>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val="en-US" w:eastAsia="en-US"/>
              </w:rPr>
            </w:pPr>
            <w:r w:rsidRPr="008A1F43">
              <w:rPr>
                <w:rFonts w:eastAsia="Times New Roman" w:cs="Calibri"/>
                <w:sz w:val="20"/>
                <w:szCs w:val="20"/>
                <w:lang w:eastAsia="en-US"/>
              </w:rPr>
              <w:t xml:space="preserve">Печалба от оперативна дейност </w:t>
            </w:r>
          </w:p>
        </w:tc>
        <w:tc>
          <w:tcPr>
            <w:tcW w:w="1076" w:type="dxa"/>
            <w:shd w:val="clear" w:color="auto" w:fill="DCE6F1"/>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24 698</w:t>
            </w:r>
          </w:p>
        </w:tc>
        <w:tc>
          <w:tcPr>
            <w:tcW w:w="1256" w:type="dxa"/>
            <w:shd w:val="clear" w:color="auto" w:fill="C5D9F1"/>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14 310</w:t>
            </w:r>
          </w:p>
        </w:tc>
        <w:tc>
          <w:tcPr>
            <w:tcW w:w="1204" w:type="dxa"/>
            <w:noWrap/>
            <w:vAlign w:val="center"/>
            <w:hideMark/>
          </w:tcPr>
          <w:p w:rsidR="00927E68" w:rsidRPr="008A1F43" w:rsidRDefault="00AA1346" w:rsidP="00AA1346">
            <w:pPr>
              <w:keepNext/>
              <w:spacing w:after="0" w:line="240" w:lineRule="auto"/>
              <w:jc w:val="right"/>
              <w:rPr>
                <w:rFonts w:eastAsia="Times New Roman" w:cs="Calibri"/>
                <w:sz w:val="20"/>
                <w:szCs w:val="20"/>
                <w:lang w:eastAsia="en-US"/>
              </w:rPr>
            </w:pPr>
            <w:r>
              <w:rPr>
                <w:rFonts w:cs="Arial"/>
                <w:sz w:val="20"/>
                <w:szCs w:val="20"/>
                <w:lang w:val="en-US"/>
              </w:rPr>
              <w:t>72</w:t>
            </w:r>
            <w:r w:rsidR="00927E68" w:rsidRPr="008A1F43">
              <w:rPr>
                <w:rFonts w:cs="Arial"/>
                <w:sz w:val="20"/>
                <w:szCs w:val="20"/>
                <w:lang w:val="en-US"/>
              </w:rPr>
              <w:t>,</w:t>
            </w:r>
            <w:r>
              <w:rPr>
                <w:rFonts w:cs="Arial"/>
                <w:sz w:val="20"/>
                <w:szCs w:val="20"/>
                <w:lang w:val="en-US"/>
              </w:rPr>
              <w:t>6</w:t>
            </w:r>
            <w:r w:rsidR="00927E68" w:rsidRPr="008A1F43">
              <w:rPr>
                <w:rFonts w:cs="Arial"/>
                <w:sz w:val="20"/>
                <w:szCs w:val="20"/>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Нетна печалба</w:t>
            </w:r>
            <w:r w:rsidRPr="008A1F43">
              <w:rPr>
                <w:rFonts w:eastAsia="Times New Roman" w:cs="Calibri"/>
                <w:sz w:val="20"/>
                <w:szCs w:val="20"/>
                <w:lang w:val="en-US" w:eastAsia="en-US"/>
              </w:rPr>
              <w:t xml:space="preserve"> </w:t>
            </w:r>
          </w:p>
        </w:tc>
        <w:tc>
          <w:tcPr>
            <w:tcW w:w="1076" w:type="dxa"/>
            <w:shd w:val="clear" w:color="auto" w:fill="DCE6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31 642</w:t>
            </w:r>
          </w:p>
        </w:tc>
        <w:tc>
          <w:tcPr>
            <w:tcW w:w="1256" w:type="dxa"/>
            <w:shd w:val="clear" w:color="auto" w:fill="C5D9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33 758</w:t>
            </w:r>
          </w:p>
        </w:tc>
        <w:tc>
          <w:tcPr>
            <w:tcW w:w="1204" w:type="dxa"/>
            <w:noWrap/>
            <w:vAlign w:val="center"/>
            <w:hideMark/>
          </w:tcPr>
          <w:p w:rsidR="00927E68" w:rsidRPr="008A1F43" w:rsidRDefault="00AA1346" w:rsidP="00AA1346">
            <w:pPr>
              <w:keepNext/>
              <w:spacing w:after="0" w:line="240" w:lineRule="auto"/>
              <w:jc w:val="right"/>
              <w:rPr>
                <w:rFonts w:eastAsia="Times New Roman" w:cs="Calibri"/>
                <w:sz w:val="20"/>
                <w:szCs w:val="20"/>
                <w:lang w:eastAsia="en-US"/>
              </w:rPr>
            </w:pPr>
            <w:r>
              <w:rPr>
                <w:rFonts w:cs="Arial"/>
                <w:sz w:val="20"/>
                <w:szCs w:val="20"/>
                <w:lang w:val="en-US"/>
              </w:rPr>
              <w:t>-6</w:t>
            </w:r>
            <w:r w:rsidR="00927E68">
              <w:rPr>
                <w:rFonts w:cs="Arial"/>
                <w:sz w:val="20"/>
                <w:szCs w:val="20"/>
                <w:lang w:val="en-US"/>
              </w:rPr>
              <w:t>,</w:t>
            </w:r>
            <w:r>
              <w:rPr>
                <w:rFonts w:cs="Arial"/>
                <w:sz w:val="20"/>
                <w:szCs w:val="20"/>
                <w:lang w:val="en-US"/>
              </w:rPr>
              <w:t>3</w:t>
            </w:r>
            <w:r w:rsidR="00927E68" w:rsidRPr="008A1F43">
              <w:rPr>
                <w:rFonts w:cs="Arial"/>
                <w:sz w:val="20"/>
                <w:szCs w:val="20"/>
              </w:rPr>
              <w:t>%</w:t>
            </w:r>
          </w:p>
        </w:tc>
      </w:tr>
      <w:tr w:rsidR="0072459B" w:rsidRPr="008A1F43" w:rsidTr="00893A2E">
        <w:trPr>
          <w:trHeight w:val="316"/>
        </w:trPr>
        <w:tc>
          <w:tcPr>
            <w:tcW w:w="5954" w:type="dxa"/>
            <w:tcBorders>
              <w:top w:val="nil"/>
              <w:left w:val="nil"/>
              <w:bottom w:val="single" w:sz="4" w:space="0" w:color="auto"/>
              <w:right w:val="nil"/>
            </w:tcBorders>
            <w:vAlign w:val="bottom"/>
            <w:hideMark/>
          </w:tcPr>
          <w:p w:rsidR="00927E68" w:rsidRPr="008A1F43" w:rsidRDefault="00927E68" w:rsidP="000A0779">
            <w:pPr>
              <w:spacing w:after="0" w:line="240" w:lineRule="auto"/>
              <w:rPr>
                <w:rFonts w:eastAsia="Times New Roman" w:cs="Calibri"/>
                <w:sz w:val="20"/>
                <w:szCs w:val="20"/>
                <w:lang w:val="en-US" w:eastAsia="en-US"/>
              </w:rPr>
            </w:pPr>
            <w:r w:rsidRPr="008A1F43">
              <w:rPr>
                <w:rFonts w:eastAsia="Times New Roman" w:cs="Calibri"/>
                <w:sz w:val="20"/>
                <w:szCs w:val="20"/>
                <w:lang w:eastAsia="en-US"/>
              </w:rPr>
              <w:t>Капиталови разходи*</w:t>
            </w:r>
          </w:p>
        </w:tc>
        <w:tc>
          <w:tcPr>
            <w:tcW w:w="1076" w:type="dxa"/>
            <w:tcBorders>
              <w:top w:val="nil"/>
              <w:left w:val="nil"/>
              <w:bottom w:val="single" w:sz="4" w:space="0" w:color="auto"/>
              <w:right w:val="nil"/>
            </w:tcBorders>
            <w:shd w:val="clear" w:color="auto" w:fill="DCE6F1"/>
            <w:noWrap/>
            <w:vAlign w:val="bottom"/>
            <w:hideMark/>
          </w:tcPr>
          <w:p w:rsidR="00927E68" w:rsidRPr="008A1F43" w:rsidRDefault="008134D0" w:rsidP="000A0779">
            <w:pPr>
              <w:spacing w:after="0" w:line="240" w:lineRule="auto"/>
              <w:jc w:val="right"/>
              <w:rPr>
                <w:rFonts w:eastAsia="Times New Roman" w:cs="Calibri"/>
                <w:sz w:val="20"/>
                <w:szCs w:val="20"/>
                <w:lang w:val="en-US" w:eastAsia="en-US"/>
              </w:rPr>
            </w:pPr>
            <w:r>
              <w:rPr>
                <w:rFonts w:eastAsia="Times New Roman" w:cs="Calibri"/>
                <w:sz w:val="20"/>
                <w:szCs w:val="20"/>
                <w:lang w:val="en-US" w:eastAsia="en-US"/>
              </w:rPr>
              <w:t>4 348</w:t>
            </w:r>
          </w:p>
        </w:tc>
        <w:tc>
          <w:tcPr>
            <w:tcW w:w="1256" w:type="dxa"/>
            <w:tcBorders>
              <w:top w:val="nil"/>
              <w:left w:val="nil"/>
              <w:bottom w:val="single" w:sz="4" w:space="0" w:color="auto"/>
              <w:right w:val="nil"/>
            </w:tcBorders>
            <w:shd w:val="clear" w:color="auto" w:fill="C5D9F1"/>
            <w:noWrap/>
            <w:vAlign w:val="bottom"/>
            <w:hideMark/>
          </w:tcPr>
          <w:p w:rsidR="00927E68" w:rsidRPr="008A1F43" w:rsidRDefault="008134D0" w:rsidP="000A0779">
            <w:pPr>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5 141</w:t>
            </w:r>
          </w:p>
        </w:tc>
        <w:tc>
          <w:tcPr>
            <w:tcW w:w="1204" w:type="dxa"/>
            <w:tcBorders>
              <w:top w:val="nil"/>
              <w:left w:val="nil"/>
              <w:bottom w:val="single" w:sz="4" w:space="0" w:color="auto"/>
              <w:right w:val="nil"/>
            </w:tcBorders>
            <w:noWrap/>
            <w:vAlign w:val="center"/>
            <w:hideMark/>
          </w:tcPr>
          <w:p w:rsidR="00927E68" w:rsidRPr="008A1F43" w:rsidRDefault="00927E68" w:rsidP="00AA1346">
            <w:pPr>
              <w:spacing w:after="0" w:line="240" w:lineRule="auto"/>
              <w:jc w:val="right"/>
              <w:rPr>
                <w:rFonts w:eastAsia="Times New Roman" w:cs="Calibri"/>
                <w:sz w:val="20"/>
                <w:szCs w:val="20"/>
                <w:lang w:eastAsia="en-US"/>
              </w:rPr>
            </w:pPr>
            <w:r w:rsidRPr="008A1F43">
              <w:rPr>
                <w:rFonts w:cs="Arial"/>
                <w:sz w:val="20"/>
                <w:szCs w:val="20"/>
              </w:rPr>
              <w:t>-</w:t>
            </w:r>
            <w:r w:rsidR="00AA1346">
              <w:rPr>
                <w:rFonts w:cs="Arial"/>
                <w:sz w:val="20"/>
                <w:szCs w:val="20"/>
                <w:lang w:val="en-US"/>
              </w:rPr>
              <w:t>15</w:t>
            </w:r>
            <w:r w:rsidRPr="008A1F43">
              <w:rPr>
                <w:rFonts w:cs="Arial"/>
                <w:sz w:val="20"/>
                <w:szCs w:val="20"/>
                <w:lang w:val="en-US"/>
              </w:rPr>
              <w:t>,</w:t>
            </w:r>
            <w:r w:rsidR="00AA1346">
              <w:rPr>
                <w:rFonts w:cs="Arial"/>
                <w:sz w:val="20"/>
                <w:szCs w:val="20"/>
                <w:lang w:val="en-US"/>
              </w:rPr>
              <w:t>4</w:t>
            </w:r>
            <w:r w:rsidRPr="008A1F43">
              <w:rPr>
                <w:rFonts w:cs="Arial"/>
                <w:sz w:val="20"/>
                <w:szCs w:val="20"/>
              </w:rPr>
              <w:t>%</w:t>
            </w:r>
          </w:p>
        </w:tc>
      </w:tr>
      <w:tr w:rsidR="0072459B" w:rsidRPr="008A1F43" w:rsidTr="00893A2E">
        <w:trPr>
          <w:trHeight w:val="316"/>
        </w:trPr>
        <w:tc>
          <w:tcPr>
            <w:tcW w:w="5954" w:type="dxa"/>
            <w:tcBorders>
              <w:top w:val="single" w:sz="4" w:space="0" w:color="auto"/>
              <w:left w:val="nil"/>
              <w:bottom w:val="nil"/>
              <w:right w:val="nil"/>
            </w:tcBorders>
            <w:vAlign w:val="bottom"/>
          </w:tcPr>
          <w:p w:rsidR="00927E68" w:rsidRPr="008A1F43" w:rsidRDefault="00927E68" w:rsidP="000A0779">
            <w:pPr>
              <w:keepNext/>
              <w:spacing w:after="0" w:line="240" w:lineRule="auto"/>
              <w:rPr>
                <w:rFonts w:eastAsia="Times New Roman" w:cs="Calibri"/>
                <w:sz w:val="20"/>
                <w:szCs w:val="20"/>
                <w:lang w:eastAsia="en-US"/>
              </w:rPr>
            </w:pPr>
          </w:p>
        </w:tc>
        <w:tc>
          <w:tcPr>
            <w:tcW w:w="1076" w:type="dxa"/>
            <w:tcBorders>
              <w:top w:val="single" w:sz="4" w:space="0" w:color="auto"/>
              <w:left w:val="nil"/>
              <w:bottom w:val="nil"/>
              <w:right w:val="nil"/>
            </w:tcBorders>
            <w:shd w:val="clear" w:color="auto" w:fill="DCE6F1"/>
            <w:noWrap/>
            <w:vAlign w:val="bottom"/>
            <w:hideMark/>
          </w:tcPr>
          <w:p w:rsidR="00927E68" w:rsidRPr="007B205E" w:rsidRDefault="00927E68" w:rsidP="008134D0">
            <w:pPr>
              <w:keepNext/>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3</w:t>
            </w:r>
            <w:r w:rsidR="008134D0">
              <w:rPr>
                <w:rFonts w:eastAsia="Times New Roman" w:cs="Calibri"/>
                <w:b/>
                <w:bCs/>
                <w:sz w:val="20"/>
                <w:szCs w:val="20"/>
                <w:lang w:val="en-US" w:eastAsia="en-US"/>
              </w:rPr>
              <w:t>0</w:t>
            </w:r>
            <w:r w:rsidRPr="008A1F43">
              <w:rPr>
                <w:rFonts w:eastAsia="Times New Roman" w:cs="Calibri"/>
                <w:b/>
                <w:bCs/>
                <w:sz w:val="20"/>
                <w:szCs w:val="20"/>
                <w:lang w:eastAsia="en-US"/>
              </w:rPr>
              <w:t>.</w:t>
            </w:r>
            <w:r>
              <w:rPr>
                <w:rFonts w:eastAsia="Times New Roman" w:cs="Calibri"/>
                <w:b/>
                <w:bCs/>
                <w:sz w:val="20"/>
                <w:szCs w:val="20"/>
                <w:lang w:val="en-US" w:eastAsia="en-US"/>
              </w:rPr>
              <w:t>0</w:t>
            </w:r>
            <w:r w:rsidR="008134D0">
              <w:rPr>
                <w:rFonts w:eastAsia="Times New Roman" w:cs="Calibri"/>
                <w:b/>
                <w:bCs/>
                <w:sz w:val="20"/>
                <w:szCs w:val="20"/>
                <w:lang w:val="en-US" w:eastAsia="en-US"/>
              </w:rPr>
              <w:t>6</w:t>
            </w:r>
            <w:r w:rsidRPr="008A1F43">
              <w:rPr>
                <w:rFonts w:eastAsia="Times New Roman" w:cs="Calibri"/>
                <w:b/>
                <w:bCs/>
                <w:sz w:val="20"/>
                <w:szCs w:val="20"/>
                <w:lang w:eastAsia="en-US"/>
              </w:rPr>
              <w:t>.201</w:t>
            </w:r>
            <w:r>
              <w:rPr>
                <w:rFonts w:eastAsia="Times New Roman" w:cs="Calibri"/>
                <w:b/>
                <w:bCs/>
                <w:sz w:val="20"/>
                <w:szCs w:val="20"/>
                <w:lang w:val="en-US" w:eastAsia="en-US"/>
              </w:rPr>
              <w:t>7</w:t>
            </w:r>
          </w:p>
        </w:tc>
        <w:tc>
          <w:tcPr>
            <w:tcW w:w="1256" w:type="dxa"/>
            <w:tcBorders>
              <w:top w:val="single" w:sz="4" w:space="0" w:color="auto"/>
              <w:left w:val="nil"/>
              <w:bottom w:val="nil"/>
              <w:right w:val="nil"/>
            </w:tcBorders>
            <w:shd w:val="clear" w:color="auto" w:fill="C5D9F1"/>
            <w:noWrap/>
            <w:vAlign w:val="bottom"/>
            <w:hideMark/>
          </w:tcPr>
          <w:p w:rsidR="00927E68" w:rsidRPr="007B205E" w:rsidRDefault="00927E68" w:rsidP="000A0779">
            <w:pPr>
              <w:keepNext/>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31.12.201</w:t>
            </w:r>
            <w:r>
              <w:rPr>
                <w:rFonts w:eastAsia="Times New Roman" w:cs="Calibri"/>
                <w:b/>
                <w:bCs/>
                <w:sz w:val="20"/>
                <w:szCs w:val="20"/>
                <w:lang w:val="en-US" w:eastAsia="en-US"/>
              </w:rPr>
              <w:t>6</w:t>
            </w:r>
          </w:p>
        </w:tc>
        <w:tc>
          <w:tcPr>
            <w:tcW w:w="1204" w:type="dxa"/>
            <w:tcBorders>
              <w:top w:val="single" w:sz="4" w:space="0" w:color="auto"/>
              <w:left w:val="nil"/>
              <w:bottom w:val="nil"/>
              <w:right w:val="nil"/>
            </w:tcBorders>
            <w:noWrap/>
            <w:vAlign w:val="center"/>
          </w:tcPr>
          <w:p w:rsidR="00927E68" w:rsidRPr="008A1F43" w:rsidRDefault="00927E68" w:rsidP="000A0779">
            <w:pPr>
              <w:keepNext/>
              <w:spacing w:after="0" w:line="240" w:lineRule="auto"/>
              <w:jc w:val="right"/>
              <w:rPr>
                <w:rFonts w:eastAsia="Times New Roman" w:cs="Calibri"/>
                <w:sz w:val="20"/>
                <w:szCs w:val="20"/>
                <w:lang w:eastAsia="en-US"/>
              </w:rPr>
            </w:pPr>
          </w:p>
        </w:tc>
      </w:tr>
      <w:tr w:rsidR="0072459B" w:rsidRPr="008A1F43" w:rsidTr="00893A2E">
        <w:trPr>
          <w:trHeight w:val="316"/>
        </w:trPr>
        <w:tc>
          <w:tcPr>
            <w:tcW w:w="5954" w:type="dxa"/>
            <w:vAlign w:val="bottom"/>
          </w:tcPr>
          <w:p w:rsidR="00927E68" w:rsidRPr="008A1F43" w:rsidRDefault="00927E68" w:rsidP="000A0779">
            <w:pPr>
              <w:keepNext/>
              <w:spacing w:after="0" w:line="240" w:lineRule="auto"/>
              <w:rPr>
                <w:rFonts w:eastAsia="Times New Roman" w:cs="Calibri"/>
                <w:sz w:val="20"/>
                <w:szCs w:val="20"/>
                <w:lang w:eastAsia="en-US"/>
              </w:rPr>
            </w:pPr>
          </w:p>
        </w:tc>
        <w:tc>
          <w:tcPr>
            <w:tcW w:w="1076" w:type="dxa"/>
            <w:shd w:val="clear" w:color="auto" w:fill="DCE6F1"/>
            <w:noWrap/>
            <w:vAlign w:val="bottom"/>
            <w:hideMark/>
          </w:tcPr>
          <w:p w:rsidR="00927E68" w:rsidRPr="008A1F43" w:rsidRDefault="00927E68" w:rsidP="000A0779">
            <w:pPr>
              <w:keepNext/>
              <w:spacing w:after="0" w:line="240" w:lineRule="auto"/>
              <w:jc w:val="right"/>
              <w:rPr>
                <w:rFonts w:eastAsia="Times New Roman" w:cs="Calibri"/>
                <w:b/>
                <w:bCs/>
                <w:i/>
                <w:iCs/>
                <w:sz w:val="20"/>
                <w:szCs w:val="20"/>
                <w:lang w:eastAsia="en-US"/>
              </w:rPr>
            </w:pPr>
            <w:r w:rsidRPr="008A1F43">
              <w:rPr>
                <w:rFonts w:eastAsia="Times New Roman" w:cs="Calibri"/>
                <w:b/>
                <w:bCs/>
                <w:i/>
                <w:iCs/>
                <w:sz w:val="20"/>
                <w:szCs w:val="20"/>
                <w:lang w:eastAsia="en-US"/>
              </w:rPr>
              <w:t>BGN '000</w:t>
            </w:r>
          </w:p>
        </w:tc>
        <w:tc>
          <w:tcPr>
            <w:tcW w:w="1256" w:type="dxa"/>
            <w:shd w:val="clear" w:color="auto" w:fill="C5D9F1"/>
            <w:noWrap/>
            <w:vAlign w:val="bottom"/>
            <w:hideMark/>
          </w:tcPr>
          <w:p w:rsidR="00927E68" w:rsidRPr="008A1F43" w:rsidRDefault="00927E68" w:rsidP="000A0779">
            <w:pPr>
              <w:keepNext/>
              <w:spacing w:after="0" w:line="240" w:lineRule="auto"/>
              <w:jc w:val="right"/>
              <w:rPr>
                <w:rFonts w:eastAsia="Times New Roman" w:cs="Calibri"/>
                <w:b/>
                <w:bCs/>
                <w:i/>
                <w:iCs/>
                <w:sz w:val="20"/>
                <w:szCs w:val="20"/>
                <w:lang w:eastAsia="en-US"/>
              </w:rPr>
            </w:pPr>
            <w:r w:rsidRPr="008A1F43">
              <w:rPr>
                <w:rFonts w:eastAsia="Times New Roman" w:cs="Calibri"/>
                <w:b/>
                <w:bCs/>
                <w:i/>
                <w:iCs/>
                <w:sz w:val="20"/>
                <w:szCs w:val="20"/>
                <w:lang w:eastAsia="en-US"/>
              </w:rPr>
              <w:t>BGN '000</w:t>
            </w:r>
          </w:p>
        </w:tc>
        <w:tc>
          <w:tcPr>
            <w:tcW w:w="1204" w:type="dxa"/>
            <w:noWrap/>
            <w:vAlign w:val="center"/>
          </w:tcPr>
          <w:p w:rsidR="00927E68" w:rsidRPr="008A1F43" w:rsidRDefault="00927E68" w:rsidP="000A0779">
            <w:pPr>
              <w:keepNext/>
              <w:spacing w:after="0" w:line="240" w:lineRule="auto"/>
              <w:jc w:val="right"/>
              <w:rPr>
                <w:rFonts w:eastAsia="Times New Roman" w:cs="Calibri"/>
                <w:sz w:val="20"/>
                <w:szCs w:val="20"/>
                <w:lang w:eastAsia="en-US"/>
              </w:rPr>
            </w:pPr>
          </w:p>
        </w:tc>
      </w:tr>
      <w:tr w:rsidR="0072459B" w:rsidRPr="008A1F43" w:rsidTr="00893A2E">
        <w:trPr>
          <w:trHeight w:val="316"/>
        </w:trPr>
        <w:tc>
          <w:tcPr>
            <w:tcW w:w="5954" w:type="dxa"/>
            <w:tcBorders>
              <w:top w:val="single" w:sz="4" w:space="0" w:color="auto"/>
              <w:left w:val="nil"/>
              <w:bottom w:val="nil"/>
              <w:right w:val="nil"/>
            </w:tcBorders>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Нетекущи активи</w:t>
            </w:r>
            <w:r w:rsidRPr="008A1F43">
              <w:rPr>
                <w:rFonts w:eastAsia="Times New Roman" w:cs="Calibri"/>
                <w:sz w:val="20"/>
                <w:szCs w:val="20"/>
                <w:lang w:val="en-US" w:eastAsia="en-US"/>
              </w:rPr>
              <w:t xml:space="preserve"> </w:t>
            </w:r>
          </w:p>
        </w:tc>
        <w:tc>
          <w:tcPr>
            <w:tcW w:w="1076" w:type="dxa"/>
            <w:tcBorders>
              <w:top w:val="single" w:sz="4" w:space="0" w:color="auto"/>
              <w:left w:val="nil"/>
              <w:bottom w:val="nil"/>
              <w:right w:val="nil"/>
            </w:tcBorders>
            <w:shd w:val="clear" w:color="auto" w:fill="DCE6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409 753</w:t>
            </w:r>
          </w:p>
        </w:tc>
        <w:tc>
          <w:tcPr>
            <w:tcW w:w="1256" w:type="dxa"/>
            <w:tcBorders>
              <w:top w:val="single" w:sz="4" w:space="0" w:color="auto"/>
              <w:left w:val="nil"/>
              <w:bottom w:val="nil"/>
              <w:right w:val="nil"/>
            </w:tcBorders>
            <w:shd w:val="clear" w:color="auto" w:fill="C5D9F1"/>
            <w:noWrap/>
            <w:vAlign w:val="bottom"/>
            <w:hideMark/>
          </w:tcPr>
          <w:p w:rsidR="00927E68" w:rsidRPr="008A1F43" w:rsidRDefault="00927E68" w:rsidP="000A0779">
            <w:pPr>
              <w:keepNext/>
              <w:spacing w:after="0" w:line="240" w:lineRule="auto"/>
              <w:jc w:val="right"/>
              <w:rPr>
                <w:rFonts w:eastAsia="Times New Roman" w:cs="Calibri"/>
                <w:sz w:val="20"/>
                <w:szCs w:val="20"/>
                <w:lang w:eastAsia="en-US"/>
              </w:rPr>
            </w:pPr>
            <w:r>
              <w:rPr>
                <w:rFonts w:eastAsia="Times New Roman" w:cs="Calibri"/>
                <w:sz w:val="20"/>
                <w:szCs w:val="20"/>
                <w:lang w:val="en-US" w:eastAsia="en-US"/>
              </w:rPr>
              <w:t>407 099</w:t>
            </w:r>
          </w:p>
        </w:tc>
        <w:tc>
          <w:tcPr>
            <w:tcW w:w="1204" w:type="dxa"/>
            <w:tcBorders>
              <w:top w:val="single" w:sz="4" w:space="0" w:color="auto"/>
              <w:left w:val="nil"/>
              <w:bottom w:val="nil"/>
              <w:right w:val="nil"/>
            </w:tcBorders>
            <w:noWrap/>
            <w:vAlign w:val="center"/>
            <w:hideMark/>
          </w:tcPr>
          <w:p w:rsidR="00927E68" w:rsidRPr="008A1F43" w:rsidRDefault="00AA1346" w:rsidP="00AA1346">
            <w:pPr>
              <w:keepNext/>
              <w:spacing w:after="0" w:line="240" w:lineRule="auto"/>
              <w:jc w:val="right"/>
              <w:rPr>
                <w:rFonts w:eastAsia="Times New Roman" w:cs="Calibri"/>
                <w:sz w:val="20"/>
                <w:szCs w:val="20"/>
                <w:lang w:eastAsia="en-US"/>
              </w:rPr>
            </w:pPr>
            <w:r>
              <w:rPr>
                <w:rFonts w:cs="Arial"/>
                <w:sz w:val="20"/>
                <w:szCs w:val="20"/>
                <w:lang w:val="en-US"/>
              </w:rPr>
              <w:t>0</w:t>
            </w:r>
            <w:r w:rsidR="00927E68" w:rsidRPr="008A1F43">
              <w:rPr>
                <w:rFonts w:cs="Arial"/>
                <w:sz w:val="20"/>
                <w:szCs w:val="20"/>
                <w:lang w:val="en-US"/>
              </w:rPr>
              <w:t>,</w:t>
            </w:r>
            <w:r>
              <w:rPr>
                <w:rFonts w:cs="Arial"/>
                <w:sz w:val="20"/>
                <w:szCs w:val="20"/>
                <w:lang w:val="en-US"/>
              </w:rPr>
              <w:t>7</w:t>
            </w:r>
            <w:r w:rsidR="00927E68" w:rsidRPr="008A1F43">
              <w:rPr>
                <w:rFonts w:cs="Arial"/>
                <w:sz w:val="20"/>
                <w:szCs w:val="20"/>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Текущи активи</w:t>
            </w:r>
          </w:p>
        </w:tc>
        <w:tc>
          <w:tcPr>
            <w:tcW w:w="1076" w:type="dxa"/>
            <w:shd w:val="clear" w:color="auto" w:fill="DCE6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222 521</w:t>
            </w:r>
          </w:p>
        </w:tc>
        <w:tc>
          <w:tcPr>
            <w:tcW w:w="1256" w:type="dxa"/>
            <w:shd w:val="clear" w:color="auto" w:fill="C5D9F1"/>
            <w:noWrap/>
            <w:vAlign w:val="bottom"/>
            <w:hideMark/>
          </w:tcPr>
          <w:p w:rsidR="00927E68" w:rsidRPr="008A1F43" w:rsidRDefault="00927E68" w:rsidP="000A0779">
            <w:pPr>
              <w:keepNext/>
              <w:spacing w:after="0" w:line="240" w:lineRule="auto"/>
              <w:jc w:val="right"/>
              <w:rPr>
                <w:rFonts w:eastAsia="Times New Roman" w:cs="Calibri"/>
                <w:sz w:val="20"/>
                <w:szCs w:val="20"/>
                <w:lang w:eastAsia="en-US"/>
              </w:rPr>
            </w:pPr>
            <w:r>
              <w:rPr>
                <w:rFonts w:eastAsia="Times New Roman" w:cs="Calibri"/>
                <w:sz w:val="20"/>
                <w:szCs w:val="20"/>
                <w:lang w:val="en-US" w:eastAsia="en-US"/>
              </w:rPr>
              <w:t>162 009</w:t>
            </w:r>
          </w:p>
        </w:tc>
        <w:tc>
          <w:tcPr>
            <w:tcW w:w="1204" w:type="dxa"/>
            <w:noWrap/>
            <w:vAlign w:val="center"/>
            <w:hideMark/>
          </w:tcPr>
          <w:p w:rsidR="00927E68" w:rsidRPr="008A1F43" w:rsidRDefault="00AA1346" w:rsidP="00AA1346">
            <w:pPr>
              <w:keepNext/>
              <w:spacing w:after="0" w:line="240" w:lineRule="auto"/>
              <w:jc w:val="right"/>
              <w:rPr>
                <w:rFonts w:eastAsia="Times New Roman" w:cs="Calibri"/>
                <w:sz w:val="20"/>
                <w:szCs w:val="20"/>
                <w:lang w:eastAsia="en-US"/>
              </w:rPr>
            </w:pPr>
            <w:r>
              <w:rPr>
                <w:rFonts w:cs="Arial"/>
                <w:sz w:val="20"/>
                <w:szCs w:val="20"/>
                <w:lang w:val="en-US"/>
              </w:rPr>
              <w:t>37</w:t>
            </w:r>
            <w:r w:rsidR="00927E68" w:rsidRPr="008A1F43">
              <w:rPr>
                <w:rFonts w:cs="Arial"/>
                <w:sz w:val="20"/>
                <w:szCs w:val="20"/>
                <w:lang w:val="en-US"/>
              </w:rPr>
              <w:t>,</w:t>
            </w:r>
            <w:r>
              <w:rPr>
                <w:rFonts w:cs="Arial"/>
                <w:sz w:val="20"/>
                <w:szCs w:val="20"/>
                <w:lang w:val="en-US"/>
              </w:rPr>
              <w:t>4</w:t>
            </w:r>
            <w:r w:rsidR="00927E68" w:rsidRPr="008A1F43">
              <w:rPr>
                <w:rFonts w:cs="Arial"/>
                <w:sz w:val="20"/>
                <w:szCs w:val="20"/>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Собствен капитал</w:t>
            </w:r>
          </w:p>
        </w:tc>
        <w:tc>
          <w:tcPr>
            <w:tcW w:w="1076" w:type="dxa"/>
            <w:shd w:val="clear" w:color="auto" w:fill="DCE6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482 538</w:t>
            </w:r>
          </w:p>
        </w:tc>
        <w:tc>
          <w:tcPr>
            <w:tcW w:w="1256" w:type="dxa"/>
            <w:shd w:val="clear" w:color="auto" w:fill="C5D9F1"/>
            <w:noWrap/>
            <w:vAlign w:val="bottom"/>
            <w:hideMark/>
          </w:tcPr>
          <w:p w:rsidR="00927E68" w:rsidRPr="008A1F43" w:rsidRDefault="00927E68" w:rsidP="000A0779">
            <w:pPr>
              <w:keepNext/>
              <w:spacing w:after="0" w:line="240" w:lineRule="auto"/>
              <w:jc w:val="right"/>
              <w:rPr>
                <w:rFonts w:eastAsia="Times New Roman" w:cs="Calibri"/>
                <w:sz w:val="20"/>
                <w:szCs w:val="20"/>
                <w:lang w:val="en-US" w:eastAsia="en-US"/>
              </w:rPr>
            </w:pPr>
            <w:r>
              <w:rPr>
                <w:rFonts w:eastAsia="Times New Roman" w:cs="Calibri"/>
                <w:sz w:val="20"/>
                <w:szCs w:val="20"/>
                <w:lang w:val="en-US" w:eastAsia="en-US"/>
              </w:rPr>
              <w:t>462 875</w:t>
            </w:r>
          </w:p>
        </w:tc>
        <w:tc>
          <w:tcPr>
            <w:tcW w:w="1204" w:type="dxa"/>
            <w:noWrap/>
            <w:vAlign w:val="center"/>
            <w:hideMark/>
          </w:tcPr>
          <w:p w:rsidR="00927E68" w:rsidRPr="008A1F43" w:rsidRDefault="00AA1346" w:rsidP="00AA1346">
            <w:pPr>
              <w:keepNext/>
              <w:spacing w:after="0" w:line="240" w:lineRule="auto"/>
              <w:jc w:val="right"/>
              <w:rPr>
                <w:rFonts w:eastAsia="Times New Roman" w:cs="Calibri"/>
                <w:sz w:val="20"/>
                <w:szCs w:val="20"/>
                <w:lang w:eastAsia="en-US"/>
              </w:rPr>
            </w:pPr>
            <w:r>
              <w:rPr>
                <w:rFonts w:cs="Arial"/>
                <w:sz w:val="20"/>
                <w:szCs w:val="20"/>
                <w:lang w:val="en-US"/>
              </w:rPr>
              <w:t>4</w:t>
            </w:r>
            <w:r w:rsidR="00927E68" w:rsidRPr="008A1F43">
              <w:rPr>
                <w:rFonts w:cs="Arial"/>
                <w:sz w:val="20"/>
                <w:szCs w:val="20"/>
                <w:lang w:val="en-US"/>
              </w:rPr>
              <w:t>,2</w:t>
            </w:r>
            <w:r w:rsidR="00927E68" w:rsidRPr="008A1F43">
              <w:rPr>
                <w:rFonts w:cs="Arial"/>
                <w:sz w:val="20"/>
                <w:szCs w:val="20"/>
              </w:rPr>
              <w:t>%</w:t>
            </w:r>
          </w:p>
        </w:tc>
      </w:tr>
      <w:tr w:rsidR="0072459B" w:rsidRPr="008A1F43" w:rsidTr="00893A2E">
        <w:trPr>
          <w:trHeight w:val="316"/>
        </w:trPr>
        <w:tc>
          <w:tcPr>
            <w:tcW w:w="5954" w:type="dxa"/>
            <w:vAlign w:val="bottom"/>
            <w:hideMark/>
          </w:tcPr>
          <w:p w:rsidR="00927E68" w:rsidRPr="008A1F43" w:rsidRDefault="00927E68" w:rsidP="000A0779">
            <w:pPr>
              <w:keepNext/>
              <w:spacing w:after="0" w:line="240" w:lineRule="auto"/>
              <w:rPr>
                <w:rFonts w:eastAsia="Times New Roman" w:cs="Calibri"/>
                <w:sz w:val="20"/>
                <w:szCs w:val="20"/>
                <w:lang w:eastAsia="en-US"/>
              </w:rPr>
            </w:pPr>
            <w:r w:rsidRPr="008A1F43">
              <w:rPr>
                <w:rFonts w:eastAsia="Times New Roman" w:cs="Calibri"/>
                <w:sz w:val="20"/>
                <w:szCs w:val="20"/>
                <w:lang w:eastAsia="en-US"/>
              </w:rPr>
              <w:t>Нетекущи пасиви</w:t>
            </w:r>
          </w:p>
        </w:tc>
        <w:tc>
          <w:tcPr>
            <w:tcW w:w="1076" w:type="dxa"/>
            <w:shd w:val="clear" w:color="auto" w:fill="DCE6F1"/>
            <w:noWrap/>
            <w:vAlign w:val="bottom"/>
            <w:hideMark/>
          </w:tcPr>
          <w:p w:rsidR="00927E68" w:rsidRPr="008A1F43" w:rsidRDefault="008134D0" w:rsidP="000A0779">
            <w:pPr>
              <w:keepNext/>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34 627</w:t>
            </w:r>
          </w:p>
        </w:tc>
        <w:tc>
          <w:tcPr>
            <w:tcW w:w="1256" w:type="dxa"/>
            <w:shd w:val="clear" w:color="auto" w:fill="C5D9F1"/>
            <w:noWrap/>
            <w:vAlign w:val="bottom"/>
            <w:hideMark/>
          </w:tcPr>
          <w:p w:rsidR="00927E68" w:rsidRPr="008A1F43" w:rsidRDefault="00927E68" w:rsidP="000A0779">
            <w:pPr>
              <w:keepNext/>
              <w:spacing w:after="0" w:line="240" w:lineRule="auto"/>
              <w:jc w:val="right"/>
              <w:rPr>
                <w:rFonts w:eastAsia="Times New Roman" w:cs="Calibri"/>
                <w:sz w:val="20"/>
                <w:szCs w:val="20"/>
                <w:lang w:val="en-US" w:eastAsia="en-US"/>
              </w:rPr>
            </w:pPr>
            <w:r w:rsidRPr="008A1F43">
              <w:rPr>
                <w:rFonts w:eastAsia="Times New Roman" w:cs="Calibri"/>
                <w:sz w:val="20"/>
                <w:szCs w:val="20"/>
                <w:lang w:val="en-US" w:eastAsia="en-US"/>
              </w:rPr>
              <w:t>38 062</w:t>
            </w:r>
          </w:p>
        </w:tc>
        <w:tc>
          <w:tcPr>
            <w:tcW w:w="1204" w:type="dxa"/>
            <w:noWrap/>
            <w:vAlign w:val="center"/>
            <w:hideMark/>
          </w:tcPr>
          <w:p w:rsidR="00927E68" w:rsidRPr="008A1F43" w:rsidRDefault="00927E68" w:rsidP="00AA1346">
            <w:pPr>
              <w:keepNext/>
              <w:spacing w:after="0" w:line="240" w:lineRule="auto"/>
              <w:jc w:val="right"/>
              <w:rPr>
                <w:rFonts w:eastAsia="Times New Roman" w:cs="Calibri"/>
                <w:sz w:val="20"/>
                <w:szCs w:val="20"/>
                <w:lang w:eastAsia="en-US"/>
              </w:rPr>
            </w:pPr>
            <w:r w:rsidRPr="008A1F43">
              <w:rPr>
                <w:rFonts w:cs="Arial"/>
                <w:sz w:val="20"/>
                <w:szCs w:val="20"/>
              </w:rPr>
              <w:t>-</w:t>
            </w:r>
            <w:r w:rsidR="00AA1346">
              <w:rPr>
                <w:rFonts w:cs="Arial"/>
                <w:sz w:val="20"/>
                <w:szCs w:val="20"/>
                <w:lang w:val="en-US"/>
              </w:rPr>
              <w:t>9</w:t>
            </w:r>
            <w:r w:rsidRPr="008A1F43">
              <w:rPr>
                <w:rFonts w:cs="Arial"/>
                <w:sz w:val="20"/>
                <w:szCs w:val="20"/>
                <w:lang w:val="en-US"/>
              </w:rPr>
              <w:t>,</w:t>
            </w:r>
            <w:r w:rsidR="00AA1346">
              <w:rPr>
                <w:rFonts w:cs="Arial"/>
                <w:sz w:val="20"/>
                <w:szCs w:val="20"/>
                <w:lang w:val="en-US"/>
              </w:rPr>
              <w:t>0</w:t>
            </w:r>
            <w:r w:rsidRPr="008A1F43">
              <w:rPr>
                <w:rFonts w:cs="Arial"/>
                <w:sz w:val="20"/>
                <w:szCs w:val="20"/>
              </w:rPr>
              <w:t>%</w:t>
            </w:r>
          </w:p>
        </w:tc>
      </w:tr>
      <w:tr w:rsidR="0072459B" w:rsidRPr="008A1F43" w:rsidTr="00893A2E">
        <w:trPr>
          <w:trHeight w:val="316"/>
        </w:trPr>
        <w:tc>
          <w:tcPr>
            <w:tcW w:w="5954" w:type="dxa"/>
            <w:tcBorders>
              <w:top w:val="nil"/>
              <w:left w:val="nil"/>
              <w:bottom w:val="double" w:sz="6" w:space="0" w:color="auto"/>
              <w:right w:val="nil"/>
            </w:tcBorders>
            <w:noWrap/>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Текущи пасиви</w:t>
            </w:r>
          </w:p>
        </w:tc>
        <w:tc>
          <w:tcPr>
            <w:tcW w:w="1076" w:type="dxa"/>
            <w:tcBorders>
              <w:top w:val="nil"/>
              <w:left w:val="nil"/>
              <w:bottom w:val="double" w:sz="6" w:space="0" w:color="auto"/>
              <w:right w:val="nil"/>
            </w:tcBorders>
            <w:shd w:val="clear" w:color="auto" w:fill="DCE6F1"/>
            <w:noWrap/>
            <w:vAlign w:val="bottom"/>
            <w:hideMark/>
          </w:tcPr>
          <w:p w:rsidR="00927E68" w:rsidRPr="008A1F43" w:rsidRDefault="008134D0" w:rsidP="000A0779">
            <w:pPr>
              <w:spacing w:after="0" w:line="240" w:lineRule="auto"/>
              <w:jc w:val="right"/>
              <w:rPr>
                <w:rFonts w:eastAsia="Times New Roman" w:cs="Calibri"/>
                <w:sz w:val="20"/>
                <w:szCs w:val="20"/>
                <w:lang w:val="en-US" w:eastAsia="en-US"/>
              </w:rPr>
            </w:pPr>
            <w:r w:rsidRPr="008134D0">
              <w:rPr>
                <w:rFonts w:eastAsia="Times New Roman" w:cs="Calibri"/>
                <w:sz w:val="20"/>
                <w:szCs w:val="20"/>
                <w:lang w:val="en-US" w:eastAsia="en-US"/>
              </w:rPr>
              <w:t>115 109</w:t>
            </w:r>
          </w:p>
        </w:tc>
        <w:tc>
          <w:tcPr>
            <w:tcW w:w="1256" w:type="dxa"/>
            <w:tcBorders>
              <w:top w:val="nil"/>
              <w:left w:val="nil"/>
              <w:bottom w:val="double" w:sz="6" w:space="0" w:color="auto"/>
              <w:right w:val="nil"/>
            </w:tcBorders>
            <w:shd w:val="clear" w:color="auto" w:fill="C5D9F1"/>
            <w:noWrap/>
            <w:vAlign w:val="bottom"/>
            <w:hideMark/>
          </w:tcPr>
          <w:p w:rsidR="00927E68" w:rsidRPr="008A1F43" w:rsidRDefault="00927E68" w:rsidP="000A0779">
            <w:pPr>
              <w:spacing w:after="0" w:line="240" w:lineRule="auto"/>
              <w:jc w:val="right"/>
              <w:rPr>
                <w:rFonts w:eastAsia="Times New Roman" w:cs="Calibri"/>
                <w:sz w:val="20"/>
                <w:szCs w:val="20"/>
                <w:lang w:eastAsia="en-US"/>
              </w:rPr>
            </w:pPr>
            <w:r w:rsidRPr="008A1F43">
              <w:rPr>
                <w:rFonts w:eastAsia="Times New Roman" w:cs="Calibri"/>
                <w:sz w:val="20"/>
                <w:szCs w:val="20"/>
                <w:lang w:val="en-US" w:eastAsia="en-US"/>
              </w:rPr>
              <w:t>68 171</w:t>
            </w:r>
          </w:p>
        </w:tc>
        <w:tc>
          <w:tcPr>
            <w:tcW w:w="1204" w:type="dxa"/>
            <w:tcBorders>
              <w:top w:val="nil"/>
              <w:left w:val="nil"/>
              <w:bottom w:val="double" w:sz="6" w:space="0" w:color="auto"/>
              <w:right w:val="nil"/>
            </w:tcBorders>
            <w:noWrap/>
            <w:vAlign w:val="center"/>
            <w:hideMark/>
          </w:tcPr>
          <w:p w:rsidR="00927E68" w:rsidRPr="008A1F43" w:rsidRDefault="00AA1346" w:rsidP="00AA1346">
            <w:pPr>
              <w:spacing w:after="0" w:line="240" w:lineRule="auto"/>
              <w:jc w:val="right"/>
              <w:rPr>
                <w:rFonts w:eastAsia="Times New Roman" w:cs="Calibri"/>
                <w:sz w:val="20"/>
                <w:szCs w:val="20"/>
                <w:lang w:eastAsia="en-US"/>
              </w:rPr>
            </w:pPr>
            <w:r>
              <w:rPr>
                <w:rFonts w:cs="Arial"/>
                <w:sz w:val="20"/>
                <w:szCs w:val="20"/>
                <w:lang w:val="en-US"/>
              </w:rPr>
              <w:t>6</w:t>
            </w:r>
            <w:r w:rsidR="00927E68" w:rsidRPr="008A1F43">
              <w:rPr>
                <w:rFonts w:cs="Arial"/>
                <w:sz w:val="20"/>
                <w:szCs w:val="20"/>
                <w:lang w:val="en-US"/>
              </w:rPr>
              <w:t>8,</w:t>
            </w:r>
            <w:r>
              <w:rPr>
                <w:rFonts w:cs="Arial"/>
                <w:sz w:val="20"/>
                <w:szCs w:val="20"/>
                <w:lang w:val="en-US"/>
              </w:rPr>
              <w:t>9</w:t>
            </w:r>
            <w:r w:rsidR="00927E68" w:rsidRPr="008A1F43">
              <w:rPr>
                <w:rFonts w:cs="Arial"/>
                <w:sz w:val="20"/>
                <w:szCs w:val="20"/>
              </w:rPr>
              <w:t>%</w:t>
            </w:r>
          </w:p>
        </w:tc>
      </w:tr>
    </w:tbl>
    <w:p w:rsidR="00927E68" w:rsidRPr="008A1F43" w:rsidRDefault="00927E68" w:rsidP="00927E68">
      <w:pPr>
        <w:suppressAutoHyphens/>
        <w:autoSpaceDN w:val="0"/>
        <w:spacing w:before="40" w:after="40" w:line="240" w:lineRule="auto"/>
        <w:jc w:val="both"/>
        <w:textAlignment w:val="baseline"/>
        <w:rPr>
          <w:rFonts w:eastAsia="Calibri" w:cs="Calibri"/>
          <w:sz w:val="16"/>
          <w:szCs w:val="16"/>
          <w:lang w:eastAsia="en-US"/>
        </w:rPr>
      </w:pPr>
      <w:r w:rsidRPr="008A1F43">
        <w:rPr>
          <w:rFonts w:eastAsia="Calibri" w:cs="Calibri"/>
          <w:b/>
          <w:i/>
          <w:color w:val="1F497D"/>
          <w:sz w:val="32"/>
          <w:szCs w:val="32"/>
          <w:lang w:eastAsia="en-US"/>
        </w:rPr>
        <w:fldChar w:fldCharType="end"/>
      </w:r>
      <w:r w:rsidRPr="008A1F43">
        <w:rPr>
          <w:rFonts w:eastAsia="Calibri" w:cs="Calibri"/>
          <w:sz w:val="20"/>
          <w:szCs w:val="20"/>
          <w:lang w:val="en-US" w:eastAsia="en-US"/>
        </w:rPr>
        <w:t>*</w:t>
      </w:r>
      <w:r w:rsidRPr="008A1F43">
        <w:rPr>
          <w:rFonts w:eastAsia="Calibri" w:cs="Calibri"/>
          <w:sz w:val="16"/>
          <w:szCs w:val="16"/>
          <w:lang w:eastAsia="en-US"/>
        </w:rPr>
        <w:t>придобити материални и нематериални дълготрайни активи</w:t>
      </w:r>
    </w:p>
    <w:p w:rsidR="0005770E" w:rsidRDefault="0005770E" w:rsidP="00927E68">
      <w:pPr>
        <w:suppressAutoHyphens/>
        <w:autoSpaceDN w:val="0"/>
        <w:spacing w:before="40" w:after="40" w:line="240" w:lineRule="auto"/>
        <w:jc w:val="both"/>
        <w:textAlignment w:val="baseline"/>
        <w:rPr>
          <w:rFonts w:eastAsia="Calibri"/>
          <w:lang w:eastAsia="en-US"/>
        </w:rPr>
      </w:pPr>
    </w:p>
    <w:p w:rsidR="0005770E" w:rsidRDefault="0005770E" w:rsidP="00927E68">
      <w:pPr>
        <w:suppressAutoHyphens/>
        <w:autoSpaceDN w:val="0"/>
        <w:spacing w:before="40" w:after="40" w:line="240" w:lineRule="auto"/>
        <w:jc w:val="both"/>
        <w:textAlignment w:val="baseline"/>
        <w:rPr>
          <w:rFonts w:eastAsia="Calibri"/>
          <w:lang w:eastAsia="en-US"/>
        </w:rPr>
      </w:pPr>
    </w:p>
    <w:p w:rsidR="0005770E" w:rsidRDefault="0005770E" w:rsidP="00927E68">
      <w:pPr>
        <w:suppressAutoHyphens/>
        <w:autoSpaceDN w:val="0"/>
        <w:spacing w:before="40" w:after="40" w:line="240" w:lineRule="auto"/>
        <w:jc w:val="both"/>
        <w:textAlignment w:val="baseline"/>
        <w:rPr>
          <w:rFonts w:eastAsia="Calibri"/>
          <w:lang w:eastAsia="en-US"/>
        </w:rPr>
      </w:pPr>
    </w:p>
    <w:p w:rsidR="0005770E" w:rsidRDefault="0005770E" w:rsidP="00927E68">
      <w:pPr>
        <w:suppressAutoHyphens/>
        <w:autoSpaceDN w:val="0"/>
        <w:spacing w:before="40" w:after="40" w:line="240" w:lineRule="auto"/>
        <w:jc w:val="both"/>
        <w:textAlignment w:val="baseline"/>
        <w:rPr>
          <w:rFonts w:eastAsia="Calibri"/>
          <w:lang w:eastAsia="en-US"/>
        </w:rPr>
      </w:pPr>
    </w:p>
    <w:p w:rsidR="0005770E" w:rsidRDefault="0005770E" w:rsidP="00927E68">
      <w:pPr>
        <w:suppressAutoHyphens/>
        <w:autoSpaceDN w:val="0"/>
        <w:spacing w:before="40" w:after="40" w:line="240" w:lineRule="auto"/>
        <w:jc w:val="both"/>
        <w:textAlignment w:val="baseline"/>
        <w:rPr>
          <w:rFonts w:eastAsia="Calibri"/>
          <w:lang w:eastAsia="en-US"/>
        </w:rPr>
      </w:pPr>
    </w:p>
    <w:p w:rsidR="00927E68" w:rsidRPr="008A1F43" w:rsidRDefault="00927E68" w:rsidP="00927E68">
      <w:pPr>
        <w:suppressAutoHyphens/>
        <w:autoSpaceDN w:val="0"/>
        <w:spacing w:before="40" w:after="40" w:line="240" w:lineRule="auto"/>
        <w:jc w:val="both"/>
        <w:textAlignment w:val="baseline"/>
        <w:rPr>
          <w:rFonts w:eastAsia="Calibri"/>
          <w:lang w:eastAsia="en-US"/>
        </w:rPr>
      </w:pPr>
      <w:r w:rsidRPr="008A1F43">
        <w:rPr>
          <w:rFonts w:eastAsia="Calibri"/>
          <w:lang w:eastAsia="en-US"/>
        </w:rPr>
        <w:fldChar w:fldCharType="begin"/>
      </w:r>
      <w:r w:rsidRPr="008A1F43">
        <w:rPr>
          <w:rFonts w:eastAsia="Calibri"/>
          <w:lang w:eastAsia="en-US"/>
        </w:rPr>
        <w:instrText xml:space="preserve"> LINK Excel.Sheet.8 "D:\\Users\\EKostov\\Documents\\Copy of 2011otchet_adv.xls" Sheet1!R15C1:R19C4 \a \f 4 \h  \* MERGEFORMAT </w:instrText>
      </w:r>
      <w:r w:rsidRPr="008A1F43">
        <w:rPr>
          <w:rFonts w:eastAsia="Calibri"/>
          <w:lang w:eastAsia="en-US"/>
        </w:rPr>
        <w:fldChar w:fldCharType="separate"/>
      </w:r>
    </w:p>
    <w:tbl>
      <w:tblPr>
        <w:tblW w:w="8364" w:type="dxa"/>
        <w:tblInd w:w="108" w:type="dxa"/>
        <w:tblLook w:val="04A0" w:firstRow="1" w:lastRow="0" w:firstColumn="1" w:lastColumn="0" w:noHBand="0" w:noVBand="1"/>
      </w:tblPr>
      <w:tblGrid>
        <w:gridCol w:w="5812"/>
        <w:gridCol w:w="1291"/>
        <w:gridCol w:w="1261"/>
      </w:tblGrid>
      <w:tr w:rsidR="00927E68" w:rsidRPr="008A1F43" w:rsidTr="00893A2E">
        <w:trPr>
          <w:trHeight w:val="184"/>
        </w:trPr>
        <w:tc>
          <w:tcPr>
            <w:tcW w:w="5812" w:type="dxa"/>
            <w:vMerge w:val="restart"/>
            <w:vAlign w:val="center"/>
            <w:hideMark/>
          </w:tcPr>
          <w:p w:rsidR="00927E68" w:rsidRPr="008A1F43" w:rsidRDefault="00927E68" w:rsidP="000A0779">
            <w:pPr>
              <w:spacing w:after="0" w:line="240" w:lineRule="auto"/>
              <w:jc w:val="center"/>
              <w:rPr>
                <w:rFonts w:eastAsia="Times New Roman" w:cs="Calibri"/>
                <w:b/>
                <w:bCs/>
                <w:sz w:val="20"/>
                <w:szCs w:val="20"/>
                <w:lang w:eastAsia="en-US"/>
              </w:rPr>
            </w:pPr>
            <w:r w:rsidRPr="008A1F43">
              <w:rPr>
                <w:rFonts w:eastAsia="Times New Roman" w:cs="Calibri"/>
                <w:b/>
                <w:bCs/>
                <w:sz w:val="20"/>
                <w:szCs w:val="20"/>
                <w:lang w:eastAsia="en-US"/>
              </w:rPr>
              <w:lastRenderedPageBreak/>
              <w:t xml:space="preserve">Показатели </w:t>
            </w:r>
          </w:p>
        </w:tc>
        <w:tc>
          <w:tcPr>
            <w:tcW w:w="1291" w:type="dxa"/>
            <w:shd w:val="clear" w:color="auto" w:fill="DCE6F1"/>
            <w:noWrap/>
            <w:vAlign w:val="bottom"/>
            <w:hideMark/>
          </w:tcPr>
          <w:p w:rsidR="00927E68" w:rsidRPr="007B205E" w:rsidRDefault="00927E68" w:rsidP="008134D0">
            <w:pPr>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1-</w:t>
            </w:r>
            <w:r w:rsidR="008134D0">
              <w:rPr>
                <w:rFonts w:eastAsia="Times New Roman" w:cs="Calibri"/>
                <w:b/>
                <w:bCs/>
                <w:sz w:val="20"/>
                <w:szCs w:val="20"/>
                <w:lang w:val="en-US" w:eastAsia="en-US"/>
              </w:rPr>
              <w:t>6</w:t>
            </w:r>
            <w:r w:rsidRPr="008A1F43">
              <w:rPr>
                <w:rFonts w:eastAsia="Times New Roman" w:cs="Calibri"/>
                <w:b/>
                <w:bCs/>
                <w:sz w:val="20"/>
                <w:szCs w:val="20"/>
                <w:lang w:eastAsia="en-US"/>
              </w:rPr>
              <w:t>/201</w:t>
            </w:r>
            <w:r>
              <w:rPr>
                <w:rFonts w:eastAsia="Times New Roman" w:cs="Calibri"/>
                <w:b/>
                <w:bCs/>
                <w:sz w:val="20"/>
                <w:szCs w:val="20"/>
                <w:lang w:val="en-US" w:eastAsia="en-US"/>
              </w:rPr>
              <w:t>7</w:t>
            </w:r>
          </w:p>
        </w:tc>
        <w:tc>
          <w:tcPr>
            <w:tcW w:w="1261" w:type="dxa"/>
            <w:shd w:val="clear" w:color="auto" w:fill="C5D9F1"/>
            <w:noWrap/>
            <w:vAlign w:val="bottom"/>
            <w:hideMark/>
          </w:tcPr>
          <w:p w:rsidR="00927E68" w:rsidRPr="007B205E" w:rsidRDefault="00927E68" w:rsidP="008134D0">
            <w:pPr>
              <w:spacing w:after="0" w:line="240" w:lineRule="auto"/>
              <w:jc w:val="right"/>
              <w:rPr>
                <w:rFonts w:eastAsia="Times New Roman" w:cs="Calibri"/>
                <w:b/>
                <w:bCs/>
                <w:sz w:val="20"/>
                <w:szCs w:val="20"/>
                <w:lang w:val="en-US" w:eastAsia="en-US"/>
              </w:rPr>
            </w:pPr>
            <w:r w:rsidRPr="008A1F43">
              <w:rPr>
                <w:rFonts w:eastAsia="Times New Roman" w:cs="Calibri"/>
                <w:b/>
                <w:bCs/>
                <w:sz w:val="20"/>
                <w:szCs w:val="20"/>
                <w:lang w:eastAsia="en-US"/>
              </w:rPr>
              <w:t>1-</w:t>
            </w:r>
            <w:r w:rsidR="008134D0">
              <w:rPr>
                <w:rFonts w:eastAsia="Times New Roman" w:cs="Calibri"/>
                <w:b/>
                <w:bCs/>
                <w:sz w:val="20"/>
                <w:szCs w:val="20"/>
                <w:lang w:val="en-US" w:eastAsia="en-US"/>
              </w:rPr>
              <w:t>6</w:t>
            </w:r>
            <w:r w:rsidRPr="008A1F43">
              <w:rPr>
                <w:rFonts w:eastAsia="Times New Roman" w:cs="Calibri"/>
                <w:b/>
                <w:bCs/>
                <w:sz w:val="20"/>
                <w:szCs w:val="20"/>
                <w:lang w:eastAsia="en-US"/>
              </w:rPr>
              <w:t>/201</w:t>
            </w:r>
            <w:r>
              <w:rPr>
                <w:rFonts w:eastAsia="Times New Roman" w:cs="Calibri"/>
                <w:b/>
                <w:bCs/>
                <w:sz w:val="20"/>
                <w:szCs w:val="20"/>
                <w:lang w:val="en-US" w:eastAsia="en-US"/>
              </w:rPr>
              <w:t>6</w:t>
            </w:r>
          </w:p>
        </w:tc>
      </w:tr>
      <w:tr w:rsidR="00927E68" w:rsidRPr="008A1F43" w:rsidTr="00893A2E">
        <w:trPr>
          <w:trHeight w:val="184"/>
        </w:trPr>
        <w:tc>
          <w:tcPr>
            <w:tcW w:w="5812" w:type="dxa"/>
            <w:vMerge/>
            <w:vAlign w:val="center"/>
            <w:hideMark/>
          </w:tcPr>
          <w:p w:rsidR="00927E68" w:rsidRPr="008A1F43" w:rsidRDefault="00927E68" w:rsidP="000A0779">
            <w:pPr>
              <w:spacing w:after="0" w:line="240" w:lineRule="auto"/>
              <w:rPr>
                <w:rFonts w:eastAsia="Times New Roman" w:cs="Calibri"/>
                <w:b/>
                <w:bCs/>
                <w:sz w:val="20"/>
                <w:szCs w:val="20"/>
                <w:lang w:eastAsia="en-US"/>
              </w:rPr>
            </w:pPr>
          </w:p>
        </w:tc>
        <w:tc>
          <w:tcPr>
            <w:tcW w:w="1291" w:type="dxa"/>
            <w:shd w:val="clear" w:color="auto" w:fill="DCE6F1"/>
            <w:noWrap/>
            <w:vAlign w:val="bottom"/>
            <w:hideMark/>
          </w:tcPr>
          <w:p w:rsidR="00927E68" w:rsidRPr="008A1F43" w:rsidRDefault="00927E68" w:rsidP="000A0779">
            <w:pPr>
              <w:spacing w:after="0" w:line="240" w:lineRule="auto"/>
              <w:rPr>
                <w:sz w:val="20"/>
                <w:szCs w:val="20"/>
                <w:lang w:val="en-US" w:eastAsia="en-US"/>
              </w:rPr>
            </w:pPr>
          </w:p>
        </w:tc>
        <w:tc>
          <w:tcPr>
            <w:tcW w:w="1261" w:type="dxa"/>
            <w:shd w:val="clear" w:color="auto" w:fill="C5D9F1"/>
            <w:noWrap/>
            <w:vAlign w:val="bottom"/>
            <w:hideMark/>
          </w:tcPr>
          <w:p w:rsidR="00927E68" w:rsidRPr="008A1F43" w:rsidRDefault="00927E68" w:rsidP="000A0779">
            <w:pPr>
              <w:spacing w:after="0" w:line="240" w:lineRule="auto"/>
              <w:rPr>
                <w:sz w:val="20"/>
                <w:szCs w:val="20"/>
                <w:lang w:val="en-US" w:eastAsia="en-US"/>
              </w:rPr>
            </w:pPr>
          </w:p>
        </w:tc>
      </w:tr>
      <w:tr w:rsidR="00927E68" w:rsidRPr="008A1F43" w:rsidTr="00893A2E">
        <w:trPr>
          <w:trHeight w:val="184"/>
        </w:trPr>
        <w:tc>
          <w:tcPr>
            <w:tcW w:w="5812" w:type="dxa"/>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EBITDA/Приходи от продажби</w:t>
            </w:r>
          </w:p>
        </w:tc>
        <w:tc>
          <w:tcPr>
            <w:tcW w:w="1291" w:type="dxa"/>
            <w:shd w:val="clear" w:color="auto" w:fill="DCE6F1"/>
            <w:vAlign w:val="bottom"/>
          </w:tcPr>
          <w:p w:rsidR="00927E68" w:rsidRPr="008A1F43" w:rsidRDefault="00927E68" w:rsidP="000A0779">
            <w:pPr>
              <w:spacing w:after="0" w:line="240" w:lineRule="auto"/>
              <w:jc w:val="right"/>
              <w:rPr>
                <w:rFonts w:eastAsia="Times New Roman" w:cs="Calibri"/>
                <w:sz w:val="20"/>
                <w:szCs w:val="20"/>
                <w:lang w:eastAsia="en-US"/>
              </w:rPr>
            </w:pPr>
          </w:p>
          <w:p w:rsidR="00927E68" w:rsidRPr="008A1F43" w:rsidRDefault="00927E68" w:rsidP="008134D0">
            <w:pPr>
              <w:spacing w:after="0" w:line="240" w:lineRule="auto"/>
              <w:jc w:val="right"/>
              <w:rPr>
                <w:rFonts w:eastAsia="Times New Roman" w:cs="Calibri"/>
                <w:sz w:val="20"/>
                <w:szCs w:val="20"/>
                <w:lang w:eastAsia="en-US"/>
              </w:rPr>
            </w:pPr>
            <w:r>
              <w:rPr>
                <w:rFonts w:eastAsia="Times New Roman" w:cs="Calibri"/>
                <w:sz w:val="20"/>
                <w:szCs w:val="20"/>
                <w:lang w:val="en-US" w:eastAsia="en-US"/>
              </w:rPr>
              <w:t>3</w:t>
            </w:r>
            <w:r w:rsidR="008134D0">
              <w:rPr>
                <w:rFonts w:eastAsia="Times New Roman" w:cs="Calibri"/>
                <w:sz w:val="20"/>
                <w:szCs w:val="20"/>
                <w:lang w:val="en-US" w:eastAsia="en-US"/>
              </w:rPr>
              <w:t>4</w:t>
            </w:r>
            <w:r w:rsidRPr="008A1F43">
              <w:rPr>
                <w:rFonts w:eastAsia="Times New Roman" w:cs="Calibri"/>
                <w:sz w:val="20"/>
                <w:szCs w:val="20"/>
                <w:lang w:val="en-US" w:eastAsia="en-US"/>
              </w:rPr>
              <w:t>,</w:t>
            </w:r>
            <w:r w:rsidR="008134D0">
              <w:rPr>
                <w:rFonts w:eastAsia="Times New Roman" w:cs="Calibri"/>
                <w:sz w:val="20"/>
                <w:szCs w:val="20"/>
                <w:lang w:val="en-US" w:eastAsia="en-US"/>
              </w:rPr>
              <w:t>3</w:t>
            </w:r>
            <w:r w:rsidRPr="008A1F43">
              <w:rPr>
                <w:rFonts w:eastAsia="Times New Roman" w:cs="Calibri"/>
                <w:sz w:val="20"/>
                <w:szCs w:val="20"/>
                <w:lang w:eastAsia="en-US"/>
              </w:rPr>
              <w:t>%</w:t>
            </w:r>
          </w:p>
        </w:tc>
        <w:tc>
          <w:tcPr>
            <w:tcW w:w="1261" w:type="dxa"/>
            <w:shd w:val="clear" w:color="auto" w:fill="C5D9F1"/>
            <w:vAlign w:val="bottom"/>
          </w:tcPr>
          <w:p w:rsidR="00927E68" w:rsidRPr="008A1F43" w:rsidRDefault="00927E68" w:rsidP="000A0779">
            <w:pPr>
              <w:spacing w:after="0" w:line="240" w:lineRule="auto"/>
              <w:jc w:val="right"/>
              <w:rPr>
                <w:rFonts w:eastAsia="Times New Roman" w:cs="Calibri"/>
                <w:sz w:val="20"/>
                <w:szCs w:val="20"/>
                <w:lang w:eastAsia="en-US"/>
              </w:rPr>
            </w:pPr>
          </w:p>
          <w:p w:rsidR="00927E68" w:rsidRPr="008A1F43" w:rsidRDefault="008407C9" w:rsidP="008407C9">
            <w:pPr>
              <w:spacing w:after="0" w:line="240" w:lineRule="auto"/>
              <w:jc w:val="right"/>
              <w:rPr>
                <w:rFonts w:eastAsia="Times New Roman" w:cs="Calibri"/>
                <w:sz w:val="20"/>
                <w:szCs w:val="20"/>
                <w:lang w:eastAsia="en-US"/>
              </w:rPr>
            </w:pPr>
            <w:r>
              <w:rPr>
                <w:rFonts w:eastAsia="Times New Roman" w:cs="Calibri"/>
                <w:sz w:val="20"/>
                <w:szCs w:val="20"/>
                <w:lang w:val="en-US" w:eastAsia="en-US"/>
              </w:rPr>
              <w:t>27</w:t>
            </w:r>
            <w:r w:rsidR="00927E68" w:rsidRPr="008A1F43">
              <w:rPr>
                <w:rFonts w:eastAsia="Times New Roman" w:cs="Calibri"/>
                <w:sz w:val="20"/>
                <w:szCs w:val="20"/>
                <w:lang w:eastAsia="en-US"/>
              </w:rPr>
              <w:t>,</w:t>
            </w:r>
            <w:r>
              <w:rPr>
                <w:rFonts w:eastAsia="Times New Roman" w:cs="Calibri"/>
                <w:sz w:val="20"/>
                <w:szCs w:val="20"/>
                <w:lang w:val="en-US" w:eastAsia="en-US"/>
              </w:rPr>
              <w:t>0</w:t>
            </w:r>
            <w:r w:rsidR="00927E68" w:rsidRPr="008A1F43">
              <w:rPr>
                <w:rFonts w:eastAsia="Times New Roman" w:cs="Calibri"/>
                <w:sz w:val="20"/>
                <w:szCs w:val="20"/>
                <w:lang w:eastAsia="en-US"/>
              </w:rPr>
              <w:t>%</w:t>
            </w:r>
          </w:p>
        </w:tc>
      </w:tr>
      <w:tr w:rsidR="00927E68" w:rsidRPr="008A1F43" w:rsidTr="00893A2E">
        <w:trPr>
          <w:trHeight w:val="371"/>
        </w:trPr>
        <w:tc>
          <w:tcPr>
            <w:tcW w:w="5812" w:type="dxa"/>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Печалба от оперативна дейност/Приходи от продажби</w:t>
            </w:r>
          </w:p>
        </w:tc>
        <w:tc>
          <w:tcPr>
            <w:tcW w:w="1291" w:type="dxa"/>
            <w:shd w:val="clear" w:color="auto" w:fill="DCE6F1"/>
            <w:vAlign w:val="bottom"/>
            <w:hideMark/>
          </w:tcPr>
          <w:p w:rsidR="00927E68" w:rsidRPr="008A1F43" w:rsidRDefault="00927E68" w:rsidP="008134D0">
            <w:pPr>
              <w:spacing w:after="0" w:line="240" w:lineRule="auto"/>
              <w:jc w:val="right"/>
              <w:rPr>
                <w:rFonts w:eastAsia="Times New Roman" w:cs="Calibri"/>
                <w:sz w:val="20"/>
                <w:szCs w:val="20"/>
                <w:lang w:eastAsia="en-US"/>
              </w:rPr>
            </w:pPr>
            <w:r>
              <w:rPr>
                <w:rFonts w:eastAsia="Times New Roman" w:cs="Calibri"/>
                <w:sz w:val="20"/>
                <w:szCs w:val="20"/>
                <w:lang w:val="en-US" w:eastAsia="en-US"/>
              </w:rPr>
              <w:t>2</w:t>
            </w:r>
            <w:r w:rsidR="008134D0">
              <w:rPr>
                <w:rFonts w:eastAsia="Times New Roman" w:cs="Calibri"/>
                <w:sz w:val="20"/>
                <w:szCs w:val="20"/>
                <w:lang w:val="en-US" w:eastAsia="en-US"/>
              </w:rPr>
              <w:t>6</w:t>
            </w:r>
            <w:r w:rsidRPr="008A1F43">
              <w:rPr>
                <w:rFonts w:eastAsia="Times New Roman" w:cs="Calibri"/>
                <w:sz w:val="20"/>
                <w:szCs w:val="20"/>
                <w:lang w:val="en-US" w:eastAsia="en-US"/>
              </w:rPr>
              <w:t>,</w:t>
            </w:r>
            <w:r>
              <w:rPr>
                <w:rFonts w:eastAsia="Times New Roman" w:cs="Calibri"/>
                <w:sz w:val="20"/>
                <w:szCs w:val="20"/>
                <w:lang w:val="en-US" w:eastAsia="en-US"/>
              </w:rPr>
              <w:t>5</w:t>
            </w:r>
            <w:r w:rsidRPr="008A1F43">
              <w:rPr>
                <w:rFonts w:eastAsia="Times New Roman" w:cs="Calibri"/>
                <w:sz w:val="20"/>
                <w:szCs w:val="20"/>
                <w:lang w:eastAsia="en-US"/>
              </w:rPr>
              <w:t>%</w:t>
            </w:r>
          </w:p>
        </w:tc>
        <w:tc>
          <w:tcPr>
            <w:tcW w:w="1261" w:type="dxa"/>
            <w:shd w:val="clear" w:color="auto" w:fill="C5D9F1"/>
            <w:vAlign w:val="bottom"/>
            <w:hideMark/>
          </w:tcPr>
          <w:p w:rsidR="00927E68" w:rsidRPr="008A1F43" w:rsidRDefault="008407C9" w:rsidP="008407C9">
            <w:pPr>
              <w:spacing w:after="0" w:line="240" w:lineRule="auto"/>
              <w:jc w:val="right"/>
              <w:rPr>
                <w:rFonts w:eastAsia="Times New Roman" w:cs="Calibri"/>
                <w:sz w:val="20"/>
                <w:szCs w:val="20"/>
                <w:lang w:eastAsia="en-US"/>
              </w:rPr>
            </w:pPr>
            <w:r>
              <w:rPr>
                <w:rFonts w:eastAsia="Times New Roman" w:cs="Calibri"/>
                <w:sz w:val="20"/>
                <w:szCs w:val="20"/>
                <w:lang w:val="en-US" w:eastAsia="en-US"/>
              </w:rPr>
              <w:t>18</w:t>
            </w:r>
            <w:r w:rsidR="00927E68" w:rsidRPr="008A1F43">
              <w:rPr>
                <w:rFonts w:eastAsia="Times New Roman" w:cs="Calibri"/>
                <w:sz w:val="20"/>
                <w:szCs w:val="20"/>
                <w:lang w:val="en-US" w:eastAsia="en-US"/>
              </w:rPr>
              <w:t>,</w:t>
            </w:r>
            <w:r>
              <w:rPr>
                <w:rFonts w:eastAsia="Times New Roman" w:cs="Calibri"/>
                <w:sz w:val="20"/>
                <w:szCs w:val="20"/>
                <w:lang w:val="en-US" w:eastAsia="en-US"/>
              </w:rPr>
              <w:t>1</w:t>
            </w:r>
            <w:r w:rsidR="00927E68" w:rsidRPr="008A1F43">
              <w:rPr>
                <w:rFonts w:eastAsia="Times New Roman" w:cs="Calibri"/>
                <w:sz w:val="20"/>
                <w:szCs w:val="20"/>
                <w:lang w:eastAsia="en-US"/>
              </w:rPr>
              <w:t>%</w:t>
            </w:r>
          </w:p>
        </w:tc>
      </w:tr>
      <w:tr w:rsidR="00927E68" w:rsidRPr="008A1F43" w:rsidTr="00893A2E">
        <w:trPr>
          <w:trHeight w:val="382"/>
        </w:trPr>
        <w:tc>
          <w:tcPr>
            <w:tcW w:w="5812" w:type="dxa"/>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Нетна печалба/Приходи от продажби</w:t>
            </w:r>
          </w:p>
        </w:tc>
        <w:tc>
          <w:tcPr>
            <w:tcW w:w="1291" w:type="dxa"/>
            <w:shd w:val="clear" w:color="auto" w:fill="DCE6F1"/>
            <w:noWrap/>
            <w:vAlign w:val="bottom"/>
            <w:hideMark/>
          </w:tcPr>
          <w:p w:rsidR="00927E68" w:rsidRPr="008A1F43" w:rsidRDefault="008407C9" w:rsidP="008407C9">
            <w:pPr>
              <w:spacing w:after="0" w:line="240" w:lineRule="auto"/>
              <w:jc w:val="right"/>
              <w:rPr>
                <w:rFonts w:eastAsia="Times New Roman" w:cs="Calibri"/>
                <w:sz w:val="20"/>
                <w:szCs w:val="20"/>
                <w:lang w:eastAsia="en-US"/>
              </w:rPr>
            </w:pPr>
            <w:r>
              <w:rPr>
                <w:rFonts w:eastAsia="Times New Roman" w:cs="Calibri"/>
                <w:sz w:val="20"/>
                <w:szCs w:val="20"/>
                <w:lang w:val="en-US" w:eastAsia="en-US"/>
              </w:rPr>
              <w:t>33</w:t>
            </w:r>
            <w:r w:rsidR="00927E68" w:rsidRPr="008A1F43">
              <w:rPr>
                <w:rFonts w:eastAsia="Times New Roman" w:cs="Calibri"/>
                <w:sz w:val="20"/>
                <w:szCs w:val="20"/>
                <w:lang w:val="en-US" w:eastAsia="en-US"/>
              </w:rPr>
              <w:t>,</w:t>
            </w:r>
            <w:r>
              <w:rPr>
                <w:rFonts w:eastAsia="Times New Roman" w:cs="Calibri"/>
                <w:sz w:val="20"/>
                <w:szCs w:val="20"/>
                <w:lang w:val="en-US" w:eastAsia="en-US"/>
              </w:rPr>
              <w:t>9</w:t>
            </w:r>
            <w:r w:rsidR="00927E68" w:rsidRPr="008A1F43">
              <w:rPr>
                <w:rFonts w:eastAsia="Times New Roman" w:cs="Calibri"/>
                <w:sz w:val="20"/>
                <w:szCs w:val="20"/>
                <w:lang w:eastAsia="en-US"/>
              </w:rPr>
              <w:t>%</w:t>
            </w:r>
          </w:p>
        </w:tc>
        <w:tc>
          <w:tcPr>
            <w:tcW w:w="1261" w:type="dxa"/>
            <w:shd w:val="clear" w:color="auto" w:fill="C5D9F1"/>
            <w:noWrap/>
            <w:vAlign w:val="bottom"/>
            <w:hideMark/>
          </w:tcPr>
          <w:p w:rsidR="00927E68" w:rsidRPr="008A1F43" w:rsidRDefault="008407C9" w:rsidP="008407C9">
            <w:pPr>
              <w:spacing w:after="0" w:line="240" w:lineRule="auto"/>
              <w:jc w:val="right"/>
              <w:rPr>
                <w:rFonts w:eastAsia="Times New Roman" w:cs="Calibri"/>
                <w:sz w:val="20"/>
                <w:szCs w:val="20"/>
                <w:lang w:eastAsia="en-US"/>
              </w:rPr>
            </w:pPr>
            <w:r>
              <w:rPr>
                <w:rFonts w:eastAsia="Times New Roman" w:cs="Calibri"/>
                <w:sz w:val="20"/>
                <w:szCs w:val="20"/>
                <w:lang w:val="en-US" w:eastAsia="en-US"/>
              </w:rPr>
              <w:t>42</w:t>
            </w:r>
            <w:r w:rsidR="00927E68" w:rsidRPr="008A1F43">
              <w:rPr>
                <w:rFonts w:eastAsia="Times New Roman" w:cs="Calibri"/>
                <w:sz w:val="20"/>
                <w:szCs w:val="20"/>
                <w:lang w:val="en-US" w:eastAsia="en-US"/>
              </w:rPr>
              <w:t>,</w:t>
            </w:r>
            <w:r>
              <w:rPr>
                <w:rFonts w:eastAsia="Times New Roman" w:cs="Calibri"/>
                <w:sz w:val="20"/>
                <w:szCs w:val="20"/>
                <w:lang w:val="en-US" w:eastAsia="en-US"/>
              </w:rPr>
              <w:t>8</w:t>
            </w:r>
            <w:r w:rsidR="00927E68" w:rsidRPr="008A1F43">
              <w:rPr>
                <w:rFonts w:eastAsia="Times New Roman" w:cs="Calibri"/>
                <w:sz w:val="20"/>
                <w:szCs w:val="20"/>
                <w:lang w:eastAsia="en-US"/>
              </w:rPr>
              <w:t>%</w:t>
            </w:r>
          </w:p>
        </w:tc>
      </w:tr>
      <w:tr w:rsidR="00927E68" w:rsidRPr="008A1F43" w:rsidTr="00893A2E">
        <w:trPr>
          <w:trHeight w:val="382"/>
        </w:trPr>
        <w:tc>
          <w:tcPr>
            <w:tcW w:w="5812" w:type="dxa"/>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Привлечен капитал/Собствен капитал</w:t>
            </w:r>
          </w:p>
        </w:tc>
        <w:tc>
          <w:tcPr>
            <w:tcW w:w="1291" w:type="dxa"/>
            <w:shd w:val="clear" w:color="auto" w:fill="DCE6F1"/>
            <w:noWrap/>
            <w:vAlign w:val="bottom"/>
            <w:hideMark/>
          </w:tcPr>
          <w:p w:rsidR="00927E68" w:rsidRPr="008A1F43" w:rsidRDefault="00927E68" w:rsidP="008407C9">
            <w:pPr>
              <w:spacing w:after="0" w:line="240" w:lineRule="auto"/>
              <w:jc w:val="right"/>
              <w:rPr>
                <w:rFonts w:eastAsia="Times New Roman" w:cs="Calibri"/>
                <w:sz w:val="20"/>
                <w:szCs w:val="20"/>
                <w:lang w:eastAsia="en-US"/>
              </w:rPr>
            </w:pPr>
            <w:r w:rsidRPr="008A1F43">
              <w:rPr>
                <w:rFonts w:eastAsia="Times New Roman" w:cs="Calibri"/>
                <w:sz w:val="20"/>
                <w:szCs w:val="20"/>
                <w:lang w:eastAsia="en-US"/>
              </w:rPr>
              <w:t>0,</w:t>
            </w:r>
            <w:r w:rsidR="008407C9">
              <w:rPr>
                <w:rFonts w:eastAsia="Times New Roman" w:cs="Calibri"/>
                <w:sz w:val="20"/>
                <w:szCs w:val="20"/>
                <w:lang w:val="en-US" w:eastAsia="en-US"/>
              </w:rPr>
              <w:t>3</w:t>
            </w:r>
            <w:r>
              <w:rPr>
                <w:rFonts w:eastAsia="Times New Roman" w:cs="Calibri"/>
                <w:sz w:val="20"/>
                <w:szCs w:val="20"/>
                <w:lang w:val="en-US" w:eastAsia="en-US"/>
              </w:rPr>
              <w:t>1</w:t>
            </w:r>
          </w:p>
        </w:tc>
        <w:tc>
          <w:tcPr>
            <w:tcW w:w="1261" w:type="dxa"/>
            <w:shd w:val="clear" w:color="auto" w:fill="C5D9F1"/>
            <w:noWrap/>
            <w:vAlign w:val="bottom"/>
            <w:hideMark/>
          </w:tcPr>
          <w:p w:rsidR="00927E68" w:rsidRPr="00150665" w:rsidRDefault="00927E68" w:rsidP="000A0779">
            <w:pPr>
              <w:spacing w:after="0" w:line="240" w:lineRule="auto"/>
              <w:jc w:val="right"/>
              <w:rPr>
                <w:rFonts w:eastAsia="Times New Roman" w:cs="Calibri"/>
                <w:sz w:val="20"/>
                <w:szCs w:val="20"/>
                <w:lang w:val="en-US" w:eastAsia="en-US"/>
              </w:rPr>
            </w:pPr>
            <w:r w:rsidRPr="008A1F43">
              <w:rPr>
                <w:rFonts w:eastAsia="Times New Roman" w:cs="Calibri"/>
                <w:sz w:val="20"/>
                <w:szCs w:val="20"/>
                <w:lang w:eastAsia="en-US"/>
              </w:rPr>
              <w:t>0,</w:t>
            </w:r>
            <w:r>
              <w:rPr>
                <w:rFonts w:eastAsia="Times New Roman" w:cs="Calibri"/>
                <w:sz w:val="20"/>
                <w:szCs w:val="20"/>
                <w:lang w:val="en-US" w:eastAsia="en-US"/>
              </w:rPr>
              <w:t>23</w:t>
            </w:r>
          </w:p>
        </w:tc>
      </w:tr>
      <w:tr w:rsidR="00927E68" w:rsidRPr="008A1F43" w:rsidTr="00893A2E">
        <w:trPr>
          <w:trHeight w:val="382"/>
        </w:trPr>
        <w:tc>
          <w:tcPr>
            <w:tcW w:w="5812" w:type="dxa"/>
            <w:tcBorders>
              <w:top w:val="nil"/>
              <w:left w:val="nil"/>
              <w:bottom w:val="double" w:sz="6" w:space="0" w:color="auto"/>
              <w:right w:val="nil"/>
            </w:tcBorders>
            <w:vAlign w:val="bottom"/>
            <w:hideMark/>
          </w:tcPr>
          <w:p w:rsidR="00927E68" w:rsidRPr="008A1F43" w:rsidRDefault="00927E68" w:rsidP="000A0779">
            <w:pPr>
              <w:spacing w:after="0" w:line="240" w:lineRule="auto"/>
              <w:rPr>
                <w:rFonts w:eastAsia="Times New Roman" w:cs="Calibri"/>
                <w:sz w:val="20"/>
                <w:szCs w:val="20"/>
                <w:lang w:eastAsia="en-US"/>
              </w:rPr>
            </w:pPr>
            <w:r w:rsidRPr="008A1F43">
              <w:rPr>
                <w:rFonts w:eastAsia="Times New Roman" w:cs="Calibri"/>
                <w:sz w:val="20"/>
                <w:szCs w:val="20"/>
                <w:lang w:eastAsia="en-US"/>
              </w:rPr>
              <w:t>Нетен дълг/EBITDA на годишна база</w:t>
            </w:r>
          </w:p>
        </w:tc>
        <w:tc>
          <w:tcPr>
            <w:tcW w:w="1291" w:type="dxa"/>
            <w:tcBorders>
              <w:top w:val="nil"/>
              <w:left w:val="nil"/>
              <w:bottom w:val="double" w:sz="6" w:space="0" w:color="auto"/>
              <w:right w:val="nil"/>
            </w:tcBorders>
            <w:shd w:val="clear" w:color="auto" w:fill="DCE6F1"/>
            <w:noWrap/>
            <w:vAlign w:val="bottom"/>
            <w:hideMark/>
          </w:tcPr>
          <w:p w:rsidR="00927E68" w:rsidRPr="008A1F43" w:rsidRDefault="0072459B" w:rsidP="008659B5">
            <w:pPr>
              <w:spacing w:after="0" w:line="240" w:lineRule="auto"/>
              <w:jc w:val="right"/>
              <w:rPr>
                <w:rFonts w:eastAsia="Times New Roman" w:cs="Calibri"/>
                <w:sz w:val="20"/>
                <w:szCs w:val="20"/>
                <w:lang w:eastAsia="en-US"/>
              </w:rPr>
            </w:pPr>
            <w:r>
              <w:rPr>
                <w:rFonts w:eastAsia="Times New Roman" w:cs="Calibri"/>
                <w:sz w:val="20"/>
                <w:szCs w:val="20"/>
                <w:lang w:val="en-US" w:eastAsia="en-US"/>
              </w:rPr>
              <w:t>2</w:t>
            </w:r>
            <w:r w:rsidR="00927E68" w:rsidRPr="008A1F43">
              <w:rPr>
                <w:rFonts w:eastAsia="Times New Roman" w:cs="Calibri"/>
                <w:sz w:val="20"/>
                <w:szCs w:val="20"/>
                <w:lang w:eastAsia="en-US"/>
              </w:rPr>
              <w:t>,</w:t>
            </w:r>
            <w:r>
              <w:rPr>
                <w:rFonts w:eastAsia="Times New Roman" w:cs="Calibri"/>
                <w:sz w:val="20"/>
                <w:szCs w:val="20"/>
                <w:lang w:val="en-US" w:eastAsia="en-US"/>
              </w:rPr>
              <w:t>1</w:t>
            </w:r>
            <w:r w:rsidR="00927E68" w:rsidRPr="008A1F43">
              <w:rPr>
                <w:rFonts w:eastAsia="Times New Roman" w:cs="Calibri"/>
                <w:sz w:val="20"/>
                <w:szCs w:val="20"/>
                <w:lang w:eastAsia="en-US"/>
              </w:rPr>
              <w:t>x</w:t>
            </w:r>
          </w:p>
        </w:tc>
        <w:tc>
          <w:tcPr>
            <w:tcW w:w="1261" w:type="dxa"/>
            <w:tcBorders>
              <w:top w:val="nil"/>
              <w:left w:val="nil"/>
              <w:bottom w:val="double" w:sz="6" w:space="0" w:color="auto"/>
              <w:right w:val="nil"/>
            </w:tcBorders>
            <w:shd w:val="clear" w:color="auto" w:fill="C5D9F1"/>
            <w:noWrap/>
            <w:vAlign w:val="bottom"/>
            <w:hideMark/>
          </w:tcPr>
          <w:p w:rsidR="00927E68" w:rsidRPr="008A1F43" w:rsidRDefault="00927E68">
            <w:pPr>
              <w:spacing w:after="0" w:line="240" w:lineRule="auto"/>
              <w:jc w:val="right"/>
              <w:rPr>
                <w:rFonts w:eastAsia="Times New Roman" w:cs="Calibri"/>
                <w:sz w:val="20"/>
                <w:szCs w:val="20"/>
                <w:lang w:eastAsia="en-US"/>
              </w:rPr>
            </w:pPr>
            <w:r w:rsidRPr="008A1F43">
              <w:rPr>
                <w:rFonts w:eastAsia="Times New Roman" w:cs="Calibri"/>
                <w:sz w:val="20"/>
                <w:szCs w:val="20"/>
                <w:lang w:val="en-US" w:eastAsia="en-US"/>
              </w:rPr>
              <w:t>2</w:t>
            </w:r>
            <w:r w:rsidRPr="008A1F43">
              <w:rPr>
                <w:rFonts w:eastAsia="Times New Roman" w:cs="Calibri"/>
                <w:sz w:val="20"/>
                <w:szCs w:val="20"/>
                <w:lang w:eastAsia="en-US"/>
              </w:rPr>
              <w:t>,</w:t>
            </w:r>
            <w:r w:rsidRPr="008A1F43">
              <w:rPr>
                <w:rFonts w:eastAsia="Times New Roman" w:cs="Calibri"/>
                <w:sz w:val="20"/>
                <w:szCs w:val="20"/>
                <w:lang w:val="en-US" w:eastAsia="en-US"/>
              </w:rPr>
              <w:t>1x</w:t>
            </w:r>
          </w:p>
        </w:tc>
      </w:tr>
    </w:tbl>
    <w:p w:rsidR="00927E68" w:rsidRPr="008A1F43" w:rsidRDefault="00927E68" w:rsidP="00927E68">
      <w:pPr>
        <w:suppressAutoHyphens/>
        <w:autoSpaceDN w:val="0"/>
        <w:spacing w:before="40" w:after="40" w:line="240" w:lineRule="auto"/>
        <w:jc w:val="both"/>
        <w:textAlignment w:val="baseline"/>
        <w:rPr>
          <w:rFonts w:eastAsia="Calibri" w:cs="Calibri"/>
          <w:b/>
          <w:bCs/>
          <w:i/>
          <w:iCs/>
          <w:color w:val="1F497D"/>
          <w:sz w:val="24"/>
          <w:szCs w:val="24"/>
        </w:rPr>
      </w:pPr>
      <w:r w:rsidRPr="008A1F43">
        <w:rPr>
          <w:rFonts w:eastAsia="Calibri" w:cs="Calibri"/>
          <w:b/>
          <w:i/>
          <w:color w:val="1F497D"/>
          <w:sz w:val="32"/>
          <w:szCs w:val="32"/>
          <w:lang w:eastAsia="en-US"/>
        </w:rPr>
        <w:fldChar w:fldCharType="end"/>
      </w:r>
    </w:p>
    <w:p w:rsidR="003000AF" w:rsidRDefault="003000AF" w:rsidP="00352ED2">
      <w:pPr>
        <w:suppressAutoHyphens/>
        <w:autoSpaceDN w:val="0"/>
        <w:spacing w:before="40" w:after="40" w:line="240" w:lineRule="auto"/>
        <w:ind w:firstLine="720"/>
        <w:jc w:val="both"/>
        <w:textAlignment w:val="baseline"/>
        <w:rPr>
          <w:rFonts w:cs="Calibri"/>
          <w:i/>
          <w:sz w:val="24"/>
          <w:szCs w:val="24"/>
        </w:rPr>
      </w:pPr>
    </w:p>
    <w:p w:rsidR="003000AF" w:rsidRPr="00677345" w:rsidRDefault="003000AF" w:rsidP="00677345">
      <w:pPr>
        <w:suppressAutoHyphens/>
        <w:autoSpaceDN w:val="0"/>
        <w:spacing w:before="40" w:after="40" w:line="240" w:lineRule="auto"/>
        <w:jc w:val="both"/>
        <w:textAlignment w:val="baseline"/>
        <w:rPr>
          <w:rFonts w:cs="Calibri"/>
          <w:i/>
          <w:color w:val="365F91" w:themeColor="accent1" w:themeShade="BF"/>
          <w:sz w:val="24"/>
          <w:szCs w:val="24"/>
        </w:rPr>
      </w:pPr>
      <w:r w:rsidRPr="00677345">
        <w:rPr>
          <w:rFonts w:cs="Calibri"/>
          <w:i/>
          <w:color w:val="365F91" w:themeColor="accent1" w:themeShade="BF"/>
          <w:sz w:val="24"/>
          <w:szCs w:val="24"/>
        </w:rPr>
        <w:t>Приходи</w:t>
      </w:r>
    </w:p>
    <w:p w:rsidR="00F80195" w:rsidRDefault="00F80195" w:rsidP="00352ED2">
      <w:pPr>
        <w:suppressAutoHyphens/>
        <w:autoSpaceDN w:val="0"/>
        <w:spacing w:before="40" w:after="40" w:line="240" w:lineRule="auto"/>
        <w:ind w:firstLine="720"/>
        <w:jc w:val="both"/>
        <w:textAlignment w:val="baseline"/>
        <w:rPr>
          <w:rFonts w:cs="Calibri"/>
          <w:sz w:val="24"/>
          <w:szCs w:val="24"/>
          <w:lang w:val="en-US"/>
        </w:rPr>
      </w:pPr>
      <w:r w:rsidRPr="00AE6DEE">
        <w:rPr>
          <w:rFonts w:cs="Calibri"/>
          <w:i/>
          <w:sz w:val="24"/>
          <w:szCs w:val="24"/>
        </w:rPr>
        <w:t>Приходите от продажба на продукция</w:t>
      </w:r>
      <w:r>
        <w:rPr>
          <w:rFonts w:cs="Calibri"/>
          <w:sz w:val="24"/>
          <w:szCs w:val="24"/>
        </w:rPr>
        <w:t xml:space="preserve"> през </w:t>
      </w:r>
      <w:r w:rsidRPr="00794177">
        <w:rPr>
          <w:rFonts w:eastAsia="Calibri" w:cs="Calibri"/>
          <w:sz w:val="24"/>
          <w:szCs w:val="24"/>
        </w:rPr>
        <w:t xml:space="preserve">първо </w:t>
      </w:r>
      <w:r w:rsidR="00585A3C">
        <w:rPr>
          <w:rFonts w:eastAsia="Calibri" w:cs="Calibri"/>
          <w:sz w:val="24"/>
          <w:szCs w:val="24"/>
        </w:rPr>
        <w:t>полугодие</w:t>
      </w:r>
      <w:r w:rsidR="00585A3C" w:rsidRPr="00794177">
        <w:rPr>
          <w:rFonts w:eastAsia="Calibri" w:cs="Calibri"/>
          <w:b/>
          <w:i/>
          <w:sz w:val="28"/>
          <w:szCs w:val="28"/>
        </w:rPr>
        <w:t xml:space="preserve"> </w:t>
      </w:r>
      <w:r>
        <w:rPr>
          <w:rFonts w:cs="Calibri"/>
          <w:sz w:val="24"/>
          <w:szCs w:val="24"/>
        </w:rPr>
        <w:t>2017</w:t>
      </w:r>
      <w:r w:rsidRPr="00B40801">
        <w:rPr>
          <w:rFonts w:cs="Calibri"/>
          <w:sz w:val="24"/>
          <w:szCs w:val="24"/>
          <w:lang w:val="ru-RU"/>
        </w:rPr>
        <w:t xml:space="preserve"> </w:t>
      </w:r>
      <w:r>
        <w:rPr>
          <w:rFonts w:cs="Calibri"/>
          <w:sz w:val="24"/>
          <w:szCs w:val="24"/>
        </w:rPr>
        <w:t>г.  се увеличават с</w:t>
      </w:r>
      <w:r w:rsidRPr="00F37137">
        <w:rPr>
          <w:rFonts w:cs="Calibri"/>
          <w:sz w:val="24"/>
          <w:szCs w:val="24"/>
        </w:rPr>
        <w:t xml:space="preserve"> </w:t>
      </w:r>
      <w:r w:rsidR="00585A3C">
        <w:rPr>
          <w:rFonts w:cs="Calibri"/>
          <w:sz w:val="24"/>
          <w:szCs w:val="24"/>
        </w:rPr>
        <w:t>14,4</w:t>
      </w:r>
      <w:r>
        <w:rPr>
          <w:rFonts w:cs="Calibri"/>
          <w:sz w:val="24"/>
          <w:szCs w:val="24"/>
        </w:rPr>
        <w:t xml:space="preserve"> </w:t>
      </w:r>
      <w:r w:rsidRPr="00AE6DEE">
        <w:rPr>
          <w:rFonts w:cs="Calibri"/>
          <w:sz w:val="24"/>
          <w:szCs w:val="24"/>
        </w:rPr>
        <w:t xml:space="preserve">млн. лв. или </w:t>
      </w:r>
      <w:r>
        <w:rPr>
          <w:rFonts w:cs="Calibri"/>
          <w:sz w:val="24"/>
          <w:szCs w:val="24"/>
        </w:rPr>
        <w:t xml:space="preserve">с </w:t>
      </w:r>
      <w:r w:rsidR="00585A3C">
        <w:rPr>
          <w:rFonts w:cs="Calibri"/>
          <w:sz w:val="24"/>
          <w:szCs w:val="24"/>
        </w:rPr>
        <w:t>18</w:t>
      </w:r>
      <w:r>
        <w:rPr>
          <w:rFonts w:cs="Calibri"/>
          <w:sz w:val="24"/>
          <w:szCs w:val="24"/>
        </w:rPr>
        <w:t xml:space="preserve">% </w:t>
      </w:r>
      <w:r w:rsidRPr="00AE6DEE">
        <w:rPr>
          <w:rFonts w:cs="Calibri"/>
          <w:sz w:val="24"/>
          <w:szCs w:val="24"/>
        </w:rPr>
        <w:t xml:space="preserve">до </w:t>
      </w:r>
      <w:r>
        <w:rPr>
          <w:rFonts w:cs="Calibri"/>
          <w:sz w:val="24"/>
          <w:szCs w:val="24"/>
        </w:rPr>
        <w:t>  </w:t>
      </w:r>
      <w:r w:rsidR="00585A3C">
        <w:rPr>
          <w:rFonts w:cs="Calibri"/>
          <w:sz w:val="24"/>
          <w:szCs w:val="24"/>
        </w:rPr>
        <w:t>93,3</w:t>
      </w:r>
      <w:r>
        <w:rPr>
          <w:rFonts w:cs="Calibri"/>
          <w:sz w:val="24"/>
          <w:szCs w:val="24"/>
        </w:rPr>
        <w:t xml:space="preserve"> млн. лв., спрямо    </w:t>
      </w:r>
      <w:r w:rsidR="00585A3C">
        <w:rPr>
          <w:rFonts w:cs="Calibri"/>
          <w:sz w:val="24"/>
          <w:szCs w:val="24"/>
        </w:rPr>
        <w:t>78,9</w:t>
      </w:r>
      <w:r w:rsidRPr="00AE6DEE">
        <w:rPr>
          <w:rFonts w:cs="Calibri"/>
          <w:sz w:val="24"/>
          <w:szCs w:val="24"/>
        </w:rPr>
        <w:t xml:space="preserve"> млн. лв. през </w:t>
      </w:r>
      <w:r w:rsidR="00585A3C">
        <w:rPr>
          <w:rFonts w:cs="Calibri"/>
          <w:sz w:val="24"/>
          <w:szCs w:val="24"/>
        </w:rPr>
        <w:t xml:space="preserve">първо полугодие </w:t>
      </w:r>
      <w:r>
        <w:rPr>
          <w:rFonts w:cs="Calibri"/>
          <w:sz w:val="24"/>
          <w:szCs w:val="24"/>
        </w:rPr>
        <w:t>2016 г.</w:t>
      </w:r>
      <w:r w:rsidDel="00D13060">
        <w:rPr>
          <w:rFonts w:cs="Calibri"/>
          <w:sz w:val="24"/>
          <w:szCs w:val="24"/>
        </w:rPr>
        <w:t xml:space="preserve"> </w:t>
      </w:r>
    </w:p>
    <w:p w:rsidR="00F80195" w:rsidRDefault="00F80195" w:rsidP="00F80195">
      <w:pPr>
        <w:suppressAutoHyphens/>
        <w:autoSpaceDN w:val="0"/>
        <w:spacing w:before="40" w:after="40" w:line="240" w:lineRule="auto"/>
        <w:jc w:val="both"/>
        <w:textAlignment w:val="baseline"/>
        <w:rPr>
          <w:rFonts w:cs="Calibri"/>
          <w:sz w:val="24"/>
          <w:szCs w:val="24"/>
        </w:rPr>
      </w:pPr>
    </w:p>
    <w:p w:rsidR="00585A3C" w:rsidRDefault="00585A3C" w:rsidP="00F80195">
      <w:pPr>
        <w:suppressAutoHyphens/>
        <w:autoSpaceDN w:val="0"/>
        <w:spacing w:before="40" w:after="40" w:line="240" w:lineRule="auto"/>
        <w:jc w:val="both"/>
        <w:textAlignment w:val="baseline"/>
        <w:rPr>
          <w:rFonts w:cs="Calibri"/>
          <w:sz w:val="24"/>
          <w:szCs w:val="24"/>
        </w:rPr>
      </w:pPr>
      <w:r>
        <w:rPr>
          <w:noProof/>
        </w:rPr>
        <w:drawing>
          <wp:inline distT="0" distB="0" distL="0" distR="0" wp14:anchorId="25C1BE13" wp14:editId="14A5B3CD">
            <wp:extent cx="5957570" cy="1592950"/>
            <wp:effectExtent l="0" t="0" r="508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5A3C" w:rsidRDefault="00585A3C" w:rsidP="00F80195">
      <w:pPr>
        <w:suppressAutoHyphens/>
        <w:autoSpaceDN w:val="0"/>
        <w:spacing w:before="40" w:after="40" w:line="240" w:lineRule="auto"/>
        <w:jc w:val="both"/>
        <w:textAlignment w:val="baseline"/>
        <w:rPr>
          <w:rFonts w:cs="Calibri"/>
          <w:sz w:val="24"/>
          <w:szCs w:val="24"/>
        </w:rPr>
      </w:pPr>
    </w:p>
    <w:p w:rsidR="00585A3C" w:rsidRDefault="00585A3C" w:rsidP="00F80195">
      <w:pPr>
        <w:suppressAutoHyphens/>
        <w:autoSpaceDN w:val="0"/>
        <w:spacing w:before="40" w:after="40" w:line="240" w:lineRule="auto"/>
        <w:jc w:val="both"/>
        <w:textAlignment w:val="baseline"/>
        <w:rPr>
          <w:rFonts w:cs="Calibri"/>
          <w:sz w:val="24"/>
          <w:szCs w:val="24"/>
        </w:rPr>
      </w:pPr>
    </w:p>
    <w:p w:rsidR="00585A3C" w:rsidRDefault="00585A3C" w:rsidP="00F80195">
      <w:pPr>
        <w:suppressAutoHyphens/>
        <w:autoSpaceDN w:val="0"/>
        <w:spacing w:before="40" w:after="40" w:line="240" w:lineRule="auto"/>
        <w:jc w:val="both"/>
        <w:textAlignment w:val="baseline"/>
        <w:rPr>
          <w:rFonts w:eastAsia="Calibri" w:cs="Calibri"/>
          <w:b/>
          <w:color w:val="1F497D"/>
          <w:sz w:val="24"/>
          <w:szCs w:val="24"/>
        </w:rPr>
      </w:pPr>
    </w:p>
    <w:tbl>
      <w:tblPr>
        <w:tblW w:w="9580" w:type="dxa"/>
        <w:tblInd w:w="70" w:type="dxa"/>
        <w:tblCellMar>
          <w:left w:w="70" w:type="dxa"/>
          <w:right w:w="70" w:type="dxa"/>
        </w:tblCellMar>
        <w:tblLook w:val="04A0" w:firstRow="1" w:lastRow="0" w:firstColumn="1" w:lastColumn="0" w:noHBand="0" w:noVBand="1"/>
      </w:tblPr>
      <w:tblGrid>
        <w:gridCol w:w="2092"/>
        <w:gridCol w:w="976"/>
        <w:gridCol w:w="1076"/>
        <w:gridCol w:w="976"/>
        <w:gridCol w:w="1080"/>
        <w:gridCol w:w="976"/>
        <w:gridCol w:w="976"/>
        <w:gridCol w:w="976"/>
        <w:gridCol w:w="576"/>
      </w:tblGrid>
      <w:tr w:rsidR="00585A3C" w:rsidRPr="00585A3C" w:rsidTr="00585A3C">
        <w:trPr>
          <w:trHeight w:val="255"/>
        </w:trPr>
        <w:tc>
          <w:tcPr>
            <w:tcW w:w="2092" w:type="dxa"/>
            <w:vMerge w:val="restart"/>
            <w:tcBorders>
              <w:top w:val="nil"/>
              <w:left w:val="nil"/>
              <w:bottom w:val="nil"/>
              <w:right w:val="nil"/>
            </w:tcBorders>
            <w:shd w:val="clear" w:color="auto" w:fill="auto"/>
            <w:vAlign w:val="center"/>
            <w:hideMark/>
          </w:tcPr>
          <w:p w:rsidR="00585A3C" w:rsidRPr="00585A3C" w:rsidRDefault="00585A3C" w:rsidP="00585A3C">
            <w:pPr>
              <w:spacing w:after="0" w:line="240" w:lineRule="auto"/>
              <w:jc w:val="center"/>
              <w:rPr>
                <w:rFonts w:eastAsia="Times New Roman" w:cs="Arial"/>
                <w:b/>
                <w:bCs/>
                <w:sz w:val="20"/>
                <w:szCs w:val="20"/>
              </w:rPr>
            </w:pPr>
            <w:r w:rsidRPr="00585A3C">
              <w:rPr>
                <w:rFonts w:eastAsia="Times New Roman" w:cs="Arial"/>
                <w:b/>
                <w:bCs/>
                <w:sz w:val="20"/>
                <w:szCs w:val="20"/>
              </w:rPr>
              <w:t>Приходи по пазари</w:t>
            </w:r>
          </w:p>
        </w:tc>
        <w:tc>
          <w:tcPr>
            <w:tcW w:w="976" w:type="dxa"/>
            <w:tcBorders>
              <w:top w:val="nil"/>
              <w:left w:val="nil"/>
              <w:bottom w:val="nil"/>
              <w:right w:val="nil"/>
            </w:tcBorders>
            <w:shd w:val="clear" w:color="000000" w:fill="DCE6F1"/>
            <w:noWrap/>
            <w:vAlign w:val="bottom"/>
            <w:hideMark/>
          </w:tcPr>
          <w:p w:rsidR="00585A3C" w:rsidRPr="00585A3C" w:rsidRDefault="00585A3C" w:rsidP="00893A2E">
            <w:pPr>
              <w:spacing w:after="0" w:line="240" w:lineRule="auto"/>
              <w:jc w:val="right"/>
              <w:rPr>
                <w:rFonts w:eastAsia="Times New Roman" w:cs="Arial"/>
                <w:b/>
                <w:bCs/>
                <w:sz w:val="20"/>
                <w:szCs w:val="20"/>
              </w:rPr>
            </w:pPr>
            <w:r w:rsidRPr="00585A3C">
              <w:rPr>
                <w:rFonts w:eastAsia="Times New Roman" w:cs="Arial"/>
                <w:b/>
                <w:bCs/>
                <w:sz w:val="20"/>
                <w:szCs w:val="20"/>
              </w:rPr>
              <w:t>1-6/2017</w:t>
            </w:r>
          </w:p>
        </w:tc>
        <w:tc>
          <w:tcPr>
            <w:tcW w:w="1076" w:type="dxa"/>
            <w:tcBorders>
              <w:top w:val="nil"/>
              <w:left w:val="nil"/>
              <w:bottom w:val="nil"/>
              <w:right w:val="nil"/>
            </w:tcBorders>
            <w:shd w:val="clear" w:color="000000" w:fill="C5D9F1"/>
            <w:noWrap/>
            <w:vAlign w:val="bottom"/>
            <w:hideMark/>
          </w:tcPr>
          <w:p w:rsidR="00585A3C" w:rsidRPr="00585A3C" w:rsidRDefault="00585A3C" w:rsidP="00893A2E">
            <w:pPr>
              <w:spacing w:after="0" w:line="240" w:lineRule="auto"/>
              <w:jc w:val="right"/>
              <w:rPr>
                <w:rFonts w:eastAsia="Times New Roman" w:cs="Arial"/>
                <w:b/>
                <w:bCs/>
                <w:sz w:val="20"/>
                <w:szCs w:val="20"/>
              </w:rPr>
            </w:pPr>
            <w:r w:rsidRPr="00585A3C">
              <w:rPr>
                <w:rFonts w:eastAsia="Times New Roman" w:cs="Arial"/>
                <w:b/>
                <w:bCs/>
                <w:sz w:val="20"/>
                <w:szCs w:val="20"/>
              </w:rPr>
              <w:t>1-6/2016</w:t>
            </w:r>
          </w:p>
        </w:tc>
        <w:tc>
          <w:tcPr>
            <w:tcW w:w="976" w:type="dxa"/>
            <w:tcBorders>
              <w:top w:val="nil"/>
              <w:left w:val="nil"/>
              <w:bottom w:val="nil"/>
              <w:right w:val="nil"/>
            </w:tcBorders>
            <w:shd w:val="clear" w:color="auto" w:fill="auto"/>
            <w:noWrap/>
            <w:vAlign w:val="center"/>
            <w:hideMark/>
          </w:tcPr>
          <w:p w:rsidR="00585A3C" w:rsidRPr="00585A3C" w:rsidRDefault="00585A3C" w:rsidP="00893A2E">
            <w:pPr>
              <w:spacing w:after="0" w:line="240" w:lineRule="auto"/>
              <w:jc w:val="right"/>
              <w:rPr>
                <w:rFonts w:eastAsia="Times New Roman" w:cs="Arial"/>
                <w:b/>
                <w:bCs/>
                <w:sz w:val="20"/>
                <w:szCs w:val="20"/>
              </w:rPr>
            </w:pPr>
            <w:r w:rsidRPr="00585A3C">
              <w:rPr>
                <w:rFonts w:eastAsia="Times New Roman" w:cs="Arial"/>
                <w:b/>
                <w:bCs/>
                <w:sz w:val="20"/>
                <w:szCs w:val="20"/>
              </w:rPr>
              <w:t>промяна</w:t>
            </w:r>
          </w:p>
        </w:tc>
        <w:tc>
          <w:tcPr>
            <w:tcW w:w="956" w:type="dxa"/>
            <w:tcBorders>
              <w:top w:val="nil"/>
              <w:left w:val="nil"/>
              <w:bottom w:val="nil"/>
              <w:right w:val="nil"/>
            </w:tcBorders>
            <w:shd w:val="clear" w:color="auto" w:fill="auto"/>
            <w:noWrap/>
            <w:vAlign w:val="bottom"/>
            <w:hideMark/>
          </w:tcPr>
          <w:p w:rsidR="00585A3C" w:rsidRPr="00585A3C" w:rsidRDefault="009B5435" w:rsidP="00585A3C">
            <w:pPr>
              <w:spacing w:after="0" w:line="240" w:lineRule="auto"/>
              <w:rPr>
                <w:rFonts w:ascii="Arial" w:eastAsia="Times New Roman" w:hAnsi="Arial" w:cs="Arial"/>
                <w:sz w:val="20"/>
                <w:szCs w:val="20"/>
              </w:rPr>
            </w:pPr>
            <w:r w:rsidRPr="00893A2E">
              <w:rPr>
                <w:rFonts w:ascii="Arial" w:eastAsia="Times New Roman" w:hAnsi="Arial" w:cs="Arial"/>
                <w:noProof/>
                <w:sz w:val="20"/>
                <w:szCs w:val="20"/>
              </w:rPr>
              <w:drawing>
                <wp:anchor distT="0" distB="0" distL="114300" distR="114300" simplePos="0" relativeHeight="251693568" behindDoc="0" locked="0" layoutInCell="1" allowOverlap="1" wp14:anchorId="08AB99EF" wp14:editId="3A3D0D77">
                  <wp:simplePos x="0" y="0"/>
                  <wp:positionH relativeFrom="column">
                    <wp:posOffset>134620</wp:posOffset>
                  </wp:positionH>
                  <wp:positionV relativeFrom="paragraph">
                    <wp:posOffset>60325</wp:posOffset>
                  </wp:positionV>
                  <wp:extent cx="2619375" cy="1562100"/>
                  <wp:effectExtent l="0" t="0" r="0" b="0"/>
                  <wp:wrapNone/>
                  <wp:docPr id="15486012" name="Chart 154860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585A3C" w:rsidRPr="00585A3C">
              <w:trPr>
                <w:trHeight w:val="255"/>
                <w:tblCellSpacing w:w="0" w:type="dxa"/>
              </w:trPr>
              <w:tc>
                <w:tcPr>
                  <w:tcW w:w="940"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r>
          </w:tbl>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r w:rsidR="00585A3C" w:rsidRPr="00585A3C" w:rsidTr="00585A3C">
        <w:trPr>
          <w:trHeight w:val="255"/>
        </w:trPr>
        <w:tc>
          <w:tcPr>
            <w:tcW w:w="2092" w:type="dxa"/>
            <w:vMerge/>
            <w:tcBorders>
              <w:top w:val="nil"/>
              <w:left w:val="nil"/>
              <w:bottom w:val="nil"/>
              <w:right w:val="nil"/>
            </w:tcBorders>
            <w:vAlign w:val="center"/>
            <w:hideMark/>
          </w:tcPr>
          <w:p w:rsidR="00585A3C" w:rsidRPr="00585A3C" w:rsidRDefault="00585A3C" w:rsidP="00585A3C">
            <w:pPr>
              <w:spacing w:after="0" w:line="240" w:lineRule="auto"/>
              <w:rPr>
                <w:rFonts w:eastAsia="Times New Roman" w:cs="Arial"/>
                <w:b/>
                <w:bCs/>
                <w:sz w:val="20"/>
                <w:szCs w:val="20"/>
              </w:rPr>
            </w:pPr>
          </w:p>
        </w:tc>
        <w:tc>
          <w:tcPr>
            <w:tcW w:w="976" w:type="dxa"/>
            <w:tcBorders>
              <w:top w:val="nil"/>
              <w:left w:val="nil"/>
              <w:bottom w:val="nil"/>
              <w:right w:val="nil"/>
            </w:tcBorders>
            <w:shd w:val="clear" w:color="000000" w:fill="DCE6F1"/>
            <w:noWrap/>
            <w:vAlign w:val="bottom"/>
            <w:hideMark/>
          </w:tcPr>
          <w:p w:rsidR="00585A3C" w:rsidRPr="00585A3C" w:rsidRDefault="00585A3C" w:rsidP="008659B5">
            <w:pPr>
              <w:spacing w:after="0" w:line="240" w:lineRule="auto"/>
              <w:jc w:val="right"/>
              <w:rPr>
                <w:rFonts w:eastAsia="Times New Roman" w:cs="Arial"/>
                <w:b/>
                <w:bCs/>
                <w:i/>
                <w:iCs/>
                <w:sz w:val="20"/>
                <w:szCs w:val="20"/>
              </w:rPr>
            </w:pPr>
            <w:r w:rsidRPr="00585A3C">
              <w:rPr>
                <w:rFonts w:eastAsia="Times New Roman" w:cs="Arial"/>
                <w:b/>
                <w:bCs/>
                <w:i/>
                <w:iCs/>
                <w:sz w:val="20"/>
                <w:szCs w:val="20"/>
              </w:rPr>
              <w:t>BGN '000</w:t>
            </w:r>
          </w:p>
        </w:tc>
        <w:tc>
          <w:tcPr>
            <w:tcW w:w="1076" w:type="dxa"/>
            <w:tcBorders>
              <w:top w:val="nil"/>
              <w:left w:val="nil"/>
              <w:bottom w:val="nil"/>
              <w:right w:val="nil"/>
            </w:tcBorders>
            <w:shd w:val="clear" w:color="000000" w:fill="C5D9F1"/>
            <w:noWrap/>
            <w:vAlign w:val="bottom"/>
            <w:hideMark/>
          </w:tcPr>
          <w:p w:rsidR="00585A3C" w:rsidRPr="00585A3C" w:rsidRDefault="00585A3C">
            <w:pPr>
              <w:spacing w:after="0" w:line="240" w:lineRule="auto"/>
              <w:jc w:val="right"/>
              <w:rPr>
                <w:rFonts w:eastAsia="Times New Roman" w:cs="Arial"/>
                <w:b/>
                <w:bCs/>
                <w:i/>
                <w:iCs/>
                <w:sz w:val="20"/>
                <w:szCs w:val="20"/>
              </w:rPr>
            </w:pPr>
            <w:r w:rsidRPr="00585A3C">
              <w:rPr>
                <w:rFonts w:eastAsia="Times New Roman" w:cs="Arial"/>
                <w:b/>
                <w:bCs/>
                <w:i/>
                <w:iCs/>
                <w:sz w:val="20"/>
                <w:szCs w:val="20"/>
              </w:rPr>
              <w:t>BGN '000</w:t>
            </w:r>
          </w:p>
        </w:tc>
        <w:tc>
          <w:tcPr>
            <w:tcW w:w="976" w:type="dxa"/>
            <w:tcBorders>
              <w:top w:val="nil"/>
              <w:left w:val="nil"/>
              <w:bottom w:val="nil"/>
              <w:right w:val="nil"/>
            </w:tcBorders>
            <w:shd w:val="clear" w:color="auto" w:fill="auto"/>
            <w:noWrap/>
            <w:vAlign w:val="bottom"/>
            <w:hideMark/>
          </w:tcPr>
          <w:p w:rsidR="00585A3C" w:rsidRPr="00585A3C" w:rsidRDefault="00585A3C" w:rsidP="00893A2E">
            <w:pPr>
              <w:spacing w:after="0" w:line="240" w:lineRule="auto"/>
              <w:jc w:val="right"/>
              <w:rPr>
                <w:rFonts w:eastAsia="Times New Roman" w:cs="Arial"/>
                <w:b/>
                <w:bCs/>
                <w:sz w:val="20"/>
                <w:szCs w:val="20"/>
              </w:rPr>
            </w:pPr>
            <w:r w:rsidRPr="00585A3C">
              <w:rPr>
                <w:rFonts w:eastAsia="Times New Roman" w:cs="Arial"/>
                <w:b/>
                <w:bCs/>
                <w:sz w:val="20"/>
                <w:szCs w:val="20"/>
              </w:rPr>
              <w:t>%</w:t>
            </w:r>
          </w:p>
        </w:tc>
        <w:tc>
          <w:tcPr>
            <w:tcW w:w="95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r w:rsidR="00585A3C" w:rsidRPr="00585A3C" w:rsidTr="00585A3C">
        <w:trPr>
          <w:trHeight w:val="480"/>
        </w:trPr>
        <w:tc>
          <w:tcPr>
            <w:tcW w:w="2092" w:type="dxa"/>
            <w:tcBorders>
              <w:top w:val="nil"/>
              <w:left w:val="nil"/>
              <w:bottom w:val="nil"/>
              <w:right w:val="nil"/>
            </w:tcBorders>
            <w:shd w:val="clear" w:color="auto" w:fill="auto"/>
            <w:noWrap/>
            <w:vAlign w:val="center"/>
            <w:hideMark/>
          </w:tcPr>
          <w:p w:rsidR="00585A3C" w:rsidRPr="00585A3C" w:rsidRDefault="00585A3C" w:rsidP="00585A3C">
            <w:pPr>
              <w:spacing w:after="0" w:line="240" w:lineRule="auto"/>
              <w:rPr>
                <w:rFonts w:eastAsia="Times New Roman" w:cs="Arial"/>
                <w:sz w:val="20"/>
                <w:szCs w:val="20"/>
              </w:rPr>
            </w:pPr>
            <w:r w:rsidRPr="00585A3C">
              <w:rPr>
                <w:rFonts w:eastAsia="Times New Roman" w:cs="Arial"/>
                <w:sz w:val="20"/>
                <w:szCs w:val="20"/>
              </w:rPr>
              <w:t>ЕВРОПА</w:t>
            </w:r>
          </w:p>
        </w:tc>
        <w:tc>
          <w:tcPr>
            <w:tcW w:w="976" w:type="dxa"/>
            <w:tcBorders>
              <w:top w:val="nil"/>
              <w:left w:val="nil"/>
              <w:bottom w:val="nil"/>
              <w:right w:val="nil"/>
            </w:tcBorders>
            <w:shd w:val="clear" w:color="000000" w:fill="DCE6F1"/>
            <w:noWrap/>
            <w:vAlign w:val="bottom"/>
            <w:hideMark/>
          </w:tcPr>
          <w:p w:rsidR="00585A3C" w:rsidRPr="00585A3C" w:rsidRDefault="00585A3C" w:rsidP="008659B5">
            <w:pPr>
              <w:spacing w:after="0" w:line="240" w:lineRule="auto"/>
              <w:jc w:val="right"/>
              <w:rPr>
                <w:rFonts w:eastAsia="Times New Roman" w:cs="Arial"/>
                <w:sz w:val="20"/>
                <w:szCs w:val="20"/>
              </w:rPr>
            </w:pPr>
            <w:r w:rsidRPr="00585A3C">
              <w:rPr>
                <w:rFonts w:eastAsia="Times New Roman" w:cs="Arial"/>
                <w:sz w:val="20"/>
                <w:szCs w:val="20"/>
              </w:rPr>
              <w:t>48 828</w:t>
            </w:r>
          </w:p>
        </w:tc>
        <w:tc>
          <w:tcPr>
            <w:tcW w:w="1076" w:type="dxa"/>
            <w:tcBorders>
              <w:top w:val="nil"/>
              <w:left w:val="nil"/>
              <w:bottom w:val="nil"/>
              <w:right w:val="nil"/>
            </w:tcBorders>
            <w:shd w:val="clear" w:color="000000" w:fill="C5D9F1"/>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36 969</w:t>
            </w:r>
          </w:p>
        </w:tc>
        <w:tc>
          <w:tcPr>
            <w:tcW w:w="976" w:type="dxa"/>
            <w:tcBorders>
              <w:top w:val="nil"/>
              <w:left w:val="nil"/>
              <w:bottom w:val="nil"/>
              <w:right w:val="nil"/>
            </w:tcBorders>
            <w:shd w:val="clear" w:color="auto" w:fill="auto"/>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32%</w:t>
            </w:r>
          </w:p>
        </w:tc>
        <w:tc>
          <w:tcPr>
            <w:tcW w:w="95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r w:rsidR="00585A3C" w:rsidRPr="00585A3C" w:rsidTr="00585A3C">
        <w:trPr>
          <w:trHeight w:val="480"/>
        </w:trPr>
        <w:tc>
          <w:tcPr>
            <w:tcW w:w="2092" w:type="dxa"/>
            <w:tcBorders>
              <w:top w:val="nil"/>
              <w:left w:val="nil"/>
              <w:bottom w:val="nil"/>
              <w:right w:val="nil"/>
            </w:tcBorders>
            <w:shd w:val="clear" w:color="auto" w:fill="auto"/>
            <w:noWrap/>
            <w:vAlign w:val="center"/>
            <w:hideMark/>
          </w:tcPr>
          <w:p w:rsidR="00585A3C" w:rsidRPr="00585A3C" w:rsidRDefault="00585A3C" w:rsidP="00585A3C">
            <w:pPr>
              <w:spacing w:after="0" w:line="240" w:lineRule="auto"/>
              <w:rPr>
                <w:rFonts w:eastAsia="Times New Roman" w:cs="Arial"/>
                <w:sz w:val="20"/>
                <w:szCs w:val="20"/>
              </w:rPr>
            </w:pPr>
            <w:r w:rsidRPr="00585A3C">
              <w:rPr>
                <w:rFonts w:eastAsia="Times New Roman" w:cs="Arial"/>
                <w:sz w:val="20"/>
                <w:szCs w:val="20"/>
              </w:rPr>
              <w:t>БЪЛГАРИЯ</w:t>
            </w:r>
          </w:p>
        </w:tc>
        <w:tc>
          <w:tcPr>
            <w:tcW w:w="976" w:type="dxa"/>
            <w:tcBorders>
              <w:top w:val="nil"/>
              <w:left w:val="nil"/>
              <w:bottom w:val="nil"/>
              <w:right w:val="nil"/>
            </w:tcBorders>
            <w:shd w:val="clear" w:color="000000" w:fill="DCE6F1"/>
            <w:noWrap/>
            <w:vAlign w:val="bottom"/>
            <w:hideMark/>
          </w:tcPr>
          <w:p w:rsidR="00585A3C" w:rsidRPr="00585A3C" w:rsidRDefault="00585A3C" w:rsidP="008659B5">
            <w:pPr>
              <w:spacing w:after="0" w:line="240" w:lineRule="auto"/>
              <w:jc w:val="right"/>
              <w:rPr>
                <w:rFonts w:eastAsia="Times New Roman" w:cs="Arial"/>
                <w:sz w:val="20"/>
                <w:szCs w:val="20"/>
              </w:rPr>
            </w:pPr>
            <w:r w:rsidRPr="00585A3C">
              <w:rPr>
                <w:rFonts w:eastAsia="Times New Roman" w:cs="Arial"/>
                <w:sz w:val="20"/>
                <w:szCs w:val="20"/>
              </w:rPr>
              <w:t>33 023</w:t>
            </w:r>
          </w:p>
        </w:tc>
        <w:tc>
          <w:tcPr>
            <w:tcW w:w="1076" w:type="dxa"/>
            <w:tcBorders>
              <w:top w:val="nil"/>
              <w:left w:val="nil"/>
              <w:bottom w:val="nil"/>
              <w:right w:val="nil"/>
            </w:tcBorders>
            <w:shd w:val="clear" w:color="000000" w:fill="C5D9F1"/>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32 706</w:t>
            </w:r>
          </w:p>
        </w:tc>
        <w:tc>
          <w:tcPr>
            <w:tcW w:w="976" w:type="dxa"/>
            <w:tcBorders>
              <w:top w:val="nil"/>
              <w:left w:val="nil"/>
              <w:bottom w:val="nil"/>
              <w:right w:val="nil"/>
            </w:tcBorders>
            <w:shd w:val="clear" w:color="auto" w:fill="auto"/>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1%</w:t>
            </w:r>
          </w:p>
        </w:tc>
        <w:tc>
          <w:tcPr>
            <w:tcW w:w="95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r w:rsidR="00585A3C" w:rsidRPr="00585A3C" w:rsidTr="00585A3C">
        <w:trPr>
          <w:trHeight w:val="510"/>
        </w:trPr>
        <w:tc>
          <w:tcPr>
            <w:tcW w:w="2092" w:type="dxa"/>
            <w:tcBorders>
              <w:top w:val="nil"/>
              <w:left w:val="nil"/>
              <w:bottom w:val="nil"/>
              <w:right w:val="nil"/>
            </w:tcBorders>
            <w:shd w:val="clear" w:color="auto" w:fill="auto"/>
            <w:noWrap/>
            <w:vAlign w:val="center"/>
            <w:hideMark/>
          </w:tcPr>
          <w:p w:rsidR="00585A3C" w:rsidRPr="00585A3C" w:rsidRDefault="00585A3C" w:rsidP="00585A3C">
            <w:pPr>
              <w:spacing w:after="0" w:line="240" w:lineRule="auto"/>
              <w:rPr>
                <w:rFonts w:eastAsia="Times New Roman" w:cs="Arial"/>
                <w:sz w:val="20"/>
                <w:szCs w:val="20"/>
              </w:rPr>
            </w:pPr>
            <w:r w:rsidRPr="00585A3C">
              <w:rPr>
                <w:rFonts w:eastAsia="Times New Roman" w:cs="Arial"/>
                <w:sz w:val="20"/>
                <w:szCs w:val="20"/>
              </w:rPr>
              <w:t>ДРУГИ</w:t>
            </w:r>
          </w:p>
        </w:tc>
        <w:tc>
          <w:tcPr>
            <w:tcW w:w="976" w:type="dxa"/>
            <w:tcBorders>
              <w:top w:val="nil"/>
              <w:left w:val="nil"/>
              <w:bottom w:val="nil"/>
              <w:right w:val="nil"/>
            </w:tcBorders>
            <w:shd w:val="clear" w:color="000000" w:fill="DCE6F1"/>
            <w:noWrap/>
            <w:vAlign w:val="bottom"/>
            <w:hideMark/>
          </w:tcPr>
          <w:p w:rsidR="00585A3C" w:rsidRPr="00585A3C" w:rsidRDefault="00585A3C" w:rsidP="008659B5">
            <w:pPr>
              <w:spacing w:after="0" w:line="240" w:lineRule="auto"/>
              <w:jc w:val="right"/>
              <w:rPr>
                <w:rFonts w:eastAsia="Times New Roman" w:cs="Arial"/>
                <w:sz w:val="20"/>
                <w:szCs w:val="20"/>
              </w:rPr>
            </w:pPr>
            <w:r w:rsidRPr="00585A3C">
              <w:rPr>
                <w:rFonts w:eastAsia="Times New Roman" w:cs="Arial"/>
                <w:sz w:val="20"/>
                <w:szCs w:val="20"/>
              </w:rPr>
              <w:t>11 456</w:t>
            </w:r>
          </w:p>
        </w:tc>
        <w:tc>
          <w:tcPr>
            <w:tcW w:w="1076" w:type="dxa"/>
            <w:tcBorders>
              <w:top w:val="nil"/>
              <w:left w:val="nil"/>
              <w:bottom w:val="nil"/>
              <w:right w:val="nil"/>
            </w:tcBorders>
            <w:shd w:val="clear" w:color="000000" w:fill="C5D9F1"/>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9 255</w:t>
            </w:r>
          </w:p>
        </w:tc>
        <w:tc>
          <w:tcPr>
            <w:tcW w:w="976" w:type="dxa"/>
            <w:tcBorders>
              <w:top w:val="nil"/>
              <w:left w:val="nil"/>
              <w:bottom w:val="nil"/>
              <w:right w:val="nil"/>
            </w:tcBorders>
            <w:shd w:val="clear" w:color="auto" w:fill="auto"/>
            <w:noWrap/>
            <w:vAlign w:val="bottom"/>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24%</w:t>
            </w:r>
          </w:p>
        </w:tc>
        <w:tc>
          <w:tcPr>
            <w:tcW w:w="95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r w:rsidR="00585A3C" w:rsidRPr="00585A3C" w:rsidTr="00585A3C">
        <w:trPr>
          <w:trHeight w:val="435"/>
        </w:trPr>
        <w:tc>
          <w:tcPr>
            <w:tcW w:w="2092" w:type="dxa"/>
            <w:tcBorders>
              <w:top w:val="single" w:sz="4" w:space="0" w:color="auto"/>
              <w:left w:val="nil"/>
              <w:bottom w:val="double" w:sz="6" w:space="0" w:color="auto"/>
              <w:right w:val="nil"/>
            </w:tcBorders>
            <w:shd w:val="clear" w:color="auto" w:fill="auto"/>
            <w:noWrap/>
            <w:vAlign w:val="center"/>
            <w:hideMark/>
          </w:tcPr>
          <w:p w:rsidR="00585A3C" w:rsidRPr="00585A3C" w:rsidRDefault="00585A3C" w:rsidP="00585A3C">
            <w:pPr>
              <w:spacing w:after="0" w:line="240" w:lineRule="auto"/>
              <w:rPr>
                <w:rFonts w:eastAsia="Times New Roman" w:cs="Arial"/>
                <w:b/>
                <w:bCs/>
                <w:sz w:val="20"/>
                <w:szCs w:val="20"/>
              </w:rPr>
            </w:pPr>
            <w:r w:rsidRPr="00585A3C">
              <w:rPr>
                <w:rFonts w:eastAsia="Times New Roman" w:cs="Arial"/>
                <w:b/>
                <w:bCs/>
                <w:sz w:val="20"/>
                <w:szCs w:val="20"/>
              </w:rPr>
              <w:t xml:space="preserve">Общо </w:t>
            </w:r>
          </w:p>
        </w:tc>
        <w:tc>
          <w:tcPr>
            <w:tcW w:w="976" w:type="dxa"/>
            <w:tcBorders>
              <w:top w:val="single" w:sz="4" w:space="0" w:color="auto"/>
              <w:left w:val="nil"/>
              <w:bottom w:val="double" w:sz="6" w:space="0" w:color="auto"/>
              <w:right w:val="nil"/>
            </w:tcBorders>
            <w:shd w:val="clear" w:color="000000" w:fill="DCE6F1"/>
            <w:noWrap/>
            <w:vAlign w:val="center"/>
            <w:hideMark/>
          </w:tcPr>
          <w:p w:rsidR="00585A3C" w:rsidRPr="00585A3C" w:rsidRDefault="00585A3C" w:rsidP="008659B5">
            <w:pPr>
              <w:spacing w:after="0" w:line="240" w:lineRule="auto"/>
              <w:jc w:val="right"/>
              <w:rPr>
                <w:rFonts w:eastAsia="Times New Roman" w:cs="Arial"/>
                <w:b/>
                <w:bCs/>
                <w:sz w:val="20"/>
                <w:szCs w:val="20"/>
              </w:rPr>
            </w:pPr>
            <w:r w:rsidRPr="00585A3C">
              <w:rPr>
                <w:rFonts w:eastAsia="Times New Roman" w:cs="Arial"/>
                <w:b/>
                <w:bCs/>
                <w:sz w:val="20"/>
                <w:szCs w:val="20"/>
              </w:rPr>
              <w:t>93 307</w:t>
            </w:r>
          </w:p>
        </w:tc>
        <w:tc>
          <w:tcPr>
            <w:tcW w:w="1076" w:type="dxa"/>
            <w:tcBorders>
              <w:top w:val="single" w:sz="4" w:space="0" w:color="auto"/>
              <w:left w:val="nil"/>
              <w:bottom w:val="double" w:sz="6" w:space="0" w:color="auto"/>
              <w:right w:val="nil"/>
            </w:tcBorders>
            <w:shd w:val="clear" w:color="000000" w:fill="C5D9F1"/>
            <w:noWrap/>
            <w:vAlign w:val="center"/>
            <w:hideMark/>
          </w:tcPr>
          <w:p w:rsidR="00585A3C" w:rsidRPr="00585A3C" w:rsidRDefault="00585A3C">
            <w:pPr>
              <w:spacing w:after="0" w:line="240" w:lineRule="auto"/>
              <w:jc w:val="right"/>
              <w:rPr>
                <w:rFonts w:eastAsia="Times New Roman" w:cs="Arial"/>
                <w:b/>
                <w:bCs/>
                <w:sz w:val="20"/>
                <w:szCs w:val="20"/>
              </w:rPr>
            </w:pPr>
            <w:r w:rsidRPr="00585A3C">
              <w:rPr>
                <w:rFonts w:eastAsia="Times New Roman" w:cs="Arial"/>
                <w:b/>
                <w:bCs/>
                <w:sz w:val="20"/>
                <w:szCs w:val="20"/>
              </w:rPr>
              <w:t>78 930</w:t>
            </w:r>
          </w:p>
        </w:tc>
        <w:tc>
          <w:tcPr>
            <w:tcW w:w="976" w:type="dxa"/>
            <w:tcBorders>
              <w:top w:val="single" w:sz="4" w:space="0" w:color="auto"/>
              <w:left w:val="nil"/>
              <w:bottom w:val="double" w:sz="6" w:space="0" w:color="auto"/>
              <w:right w:val="nil"/>
            </w:tcBorders>
            <w:shd w:val="clear" w:color="auto" w:fill="auto"/>
            <w:noWrap/>
            <w:vAlign w:val="center"/>
            <w:hideMark/>
          </w:tcPr>
          <w:p w:rsidR="00585A3C" w:rsidRPr="00585A3C" w:rsidRDefault="00585A3C">
            <w:pPr>
              <w:spacing w:after="0" w:line="240" w:lineRule="auto"/>
              <w:jc w:val="right"/>
              <w:rPr>
                <w:rFonts w:eastAsia="Times New Roman" w:cs="Arial"/>
                <w:sz w:val="20"/>
                <w:szCs w:val="20"/>
              </w:rPr>
            </w:pPr>
            <w:r w:rsidRPr="00585A3C">
              <w:rPr>
                <w:rFonts w:eastAsia="Times New Roman" w:cs="Arial"/>
                <w:sz w:val="20"/>
                <w:szCs w:val="20"/>
              </w:rPr>
              <w:t>18%</w:t>
            </w:r>
          </w:p>
        </w:tc>
        <w:tc>
          <w:tcPr>
            <w:tcW w:w="95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ascii="Arial" w:eastAsia="Times New Roman" w:hAnsi="Arial"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9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c>
          <w:tcPr>
            <w:tcW w:w="576" w:type="dxa"/>
            <w:tcBorders>
              <w:top w:val="nil"/>
              <w:left w:val="nil"/>
              <w:bottom w:val="nil"/>
              <w:right w:val="nil"/>
            </w:tcBorders>
            <w:shd w:val="clear" w:color="auto" w:fill="auto"/>
            <w:noWrap/>
            <w:vAlign w:val="bottom"/>
            <w:hideMark/>
          </w:tcPr>
          <w:p w:rsidR="00585A3C" w:rsidRPr="00585A3C" w:rsidRDefault="00585A3C" w:rsidP="00585A3C">
            <w:pPr>
              <w:spacing w:after="0" w:line="240" w:lineRule="auto"/>
              <w:rPr>
                <w:rFonts w:eastAsia="Times New Roman" w:cs="Arial"/>
                <w:sz w:val="20"/>
                <w:szCs w:val="20"/>
              </w:rPr>
            </w:pPr>
          </w:p>
        </w:tc>
      </w:tr>
    </w:tbl>
    <w:p w:rsidR="00585A3C" w:rsidRPr="007649DA" w:rsidRDefault="00585A3C" w:rsidP="00F80195">
      <w:pPr>
        <w:suppressAutoHyphens/>
        <w:autoSpaceDN w:val="0"/>
        <w:spacing w:before="40" w:after="40" w:line="240" w:lineRule="auto"/>
        <w:jc w:val="both"/>
        <w:textAlignment w:val="baseline"/>
        <w:rPr>
          <w:rFonts w:eastAsia="Calibri" w:cs="Calibri"/>
          <w:b/>
          <w:color w:val="1F497D"/>
          <w:sz w:val="24"/>
          <w:szCs w:val="24"/>
        </w:rPr>
      </w:pPr>
    </w:p>
    <w:p w:rsidR="00F80195" w:rsidRPr="00AE6DEE" w:rsidRDefault="00F80195" w:rsidP="00F80195">
      <w:pPr>
        <w:numPr>
          <w:ilvl w:val="1"/>
          <w:numId w:val="2"/>
        </w:numPr>
        <w:suppressAutoHyphens/>
        <w:autoSpaceDN w:val="0"/>
        <w:spacing w:before="40" w:after="40" w:line="240" w:lineRule="auto"/>
        <w:ind w:left="1080"/>
        <w:jc w:val="both"/>
        <w:textAlignment w:val="baseline"/>
        <w:rPr>
          <w:rFonts w:eastAsia="Calibri" w:cs="Calibri"/>
          <w:sz w:val="24"/>
          <w:szCs w:val="24"/>
        </w:rPr>
      </w:pPr>
      <w:r w:rsidRPr="00AE6DEE">
        <w:rPr>
          <w:rFonts w:eastAsia="Calibri" w:cs="Calibri"/>
          <w:sz w:val="24"/>
          <w:szCs w:val="24"/>
        </w:rPr>
        <w:t>Пазар Европа</w:t>
      </w: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r w:rsidRPr="00AE6DEE">
        <w:rPr>
          <w:rFonts w:eastAsia="Calibri" w:cs="Calibri"/>
          <w:sz w:val="24"/>
          <w:szCs w:val="24"/>
        </w:rPr>
        <w:t>Приходите от продажби за европейските страни</w:t>
      </w:r>
      <w:r>
        <w:rPr>
          <w:rFonts w:eastAsia="Calibri" w:cs="Calibri"/>
          <w:sz w:val="24"/>
          <w:szCs w:val="24"/>
        </w:rPr>
        <w:t xml:space="preserve"> се увеличават с </w:t>
      </w:r>
      <w:r w:rsidR="00585A3C">
        <w:rPr>
          <w:rFonts w:eastAsia="Calibri" w:cs="Calibri"/>
          <w:sz w:val="24"/>
          <w:szCs w:val="24"/>
        </w:rPr>
        <w:t>32</w:t>
      </w:r>
      <w:r>
        <w:rPr>
          <w:rFonts w:eastAsia="Calibri" w:cs="Calibri"/>
          <w:sz w:val="24"/>
          <w:szCs w:val="24"/>
        </w:rPr>
        <w:t xml:space="preserve">% в сравнение </w:t>
      </w:r>
      <w:r w:rsidR="00A31BD9">
        <w:rPr>
          <w:rFonts w:eastAsia="Calibri" w:cs="Calibri"/>
          <w:sz w:val="24"/>
          <w:szCs w:val="24"/>
        </w:rPr>
        <w:t xml:space="preserve">с </w:t>
      </w:r>
      <w:r w:rsidR="00A31BD9" w:rsidRPr="00A31BD9">
        <w:rPr>
          <w:rFonts w:eastAsia="Calibri" w:cs="Calibri"/>
          <w:sz w:val="24"/>
          <w:szCs w:val="24"/>
        </w:rPr>
        <w:t xml:space="preserve">първото </w:t>
      </w:r>
      <w:r w:rsidR="00585A3C">
        <w:rPr>
          <w:rFonts w:eastAsia="Calibri" w:cs="Calibri"/>
          <w:sz w:val="24"/>
          <w:szCs w:val="24"/>
        </w:rPr>
        <w:t>полугодие</w:t>
      </w:r>
      <w:r w:rsidR="00585A3C" w:rsidRPr="00A31BD9">
        <w:rPr>
          <w:rFonts w:eastAsia="Calibri" w:cs="Calibri"/>
          <w:sz w:val="24"/>
          <w:szCs w:val="24"/>
        </w:rPr>
        <w:t xml:space="preserve"> </w:t>
      </w:r>
      <w:r w:rsidR="00A31BD9" w:rsidRPr="00A31BD9">
        <w:rPr>
          <w:rFonts w:eastAsia="Calibri" w:cs="Calibri"/>
          <w:sz w:val="24"/>
          <w:szCs w:val="24"/>
        </w:rPr>
        <w:t xml:space="preserve">на </w:t>
      </w:r>
      <w:r>
        <w:rPr>
          <w:rFonts w:eastAsia="Calibri" w:cs="Calibri"/>
          <w:sz w:val="24"/>
          <w:szCs w:val="24"/>
        </w:rPr>
        <w:t xml:space="preserve">2016 </w:t>
      </w:r>
      <w:r w:rsidRPr="00AE6DEE">
        <w:rPr>
          <w:rFonts w:eastAsia="Calibri" w:cs="Calibri"/>
          <w:sz w:val="24"/>
          <w:szCs w:val="24"/>
        </w:rPr>
        <w:t xml:space="preserve">г., </w:t>
      </w:r>
      <w:r>
        <w:rPr>
          <w:rFonts w:eastAsia="Calibri" w:cs="Calibri"/>
          <w:sz w:val="24"/>
          <w:szCs w:val="24"/>
        </w:rPr>
        <w:t>основно</w:t>
      </w:r>
      <w:r w:rsidRPr="00AE6DEE">
        <w:rPr>
          <w:rFonts w:eastAsia="Calibri" w:cs="Calibri"/>
          <w:sz w:val="24"/>
          <w:szCs w:val="24"/>
        </w:rPr>
        <w:t xml:space="preserve"> </w:t>
      </w:r>
      <w:r>
        <w:rPr>
          <w:rFonts w:eastAsia="Calibri" w:cs="Calibri"/>
          <w:sz w:val="24"/>
          <w:szCs w:val="24"/>
        </w:rPr>
        <w:t>поради</w:t>
      </w:r>
      <w:r w:rsidRPr="00EC0C5B">
        <w:rPr>
          <w:rFonts w:eastAsia="Calibri" w:cs="Calibri"/>
          <w:sz w:val="24"/>
          <w:szCs w:val="24"/>
          <w:lang w:val="ru-RU"/>
        </w:rPr>
        <w:t xml:space="preserve"> </w:t>
      </w:r>
      <w:r>
        <w:rPr>
          <w:rFonts w:eastAsia="Calibri" w:cs="Calibri"/>
          <w:sz w:val="24"/>
          <w:szCs w:val="24"/>
        </w:rPr>
        <w:t>увеличение</w:t>
      </w:r>
      <w:r w:rsidRPr="00AE6DEE">
        <w:rPr>
          <w:rFonts w:eastAsia="Calibri" w:cs="Calibri"/>
          <w:sz w:val="24"/>
          <w:szCs w:val="24"/>
        </w:rPr>
        <w:t xml:space="preserve"> на приходите от продажби в </w:t>
      </w:r>
      <w:r w:rsidR="00352ED2">
        <w:rPr>
          <w:rFonts w:eastAsia="Calibri" w:cs="Calibri"/>
          <w:sz w:val="24"/>
          <w:szCs w:val="24"/>
        </w:rPr>
        <w:t>Русия с 32%</w:t>
      </w:r>
      <w:r w:rsidR="00A31BD9">
        <w:rPr>
          <w:rFonts w:eastAsia="Calibri" w:cs="Calibri"/>
          <w:sz w:val="24"/>
          <w:szCs w:val="24"/>
        </w:rPr>
        <w:t xml:space="preserve"> </w:t>
      </w:r>
      <w:r w:rsidR="00585A3C">
        <w:rPr>
          <w:rFonts w:eastAsia="Calibri" w:cs="Calibri"/>
          <w:sz w:val="24"/>
          <w:szCs w:val="24"/>
        </w:rPr>
        <w:t xml:space="preserve">и Украйна с 34% </w:t>
      </w:r>
      <w:r w:rsidR="00A31BD9">
        <w:rPr>
          <w:rFonts w:eastAsia="Calibri" w:cs="Calibri"/>
          <w:sz w:val="24"/>
          <w:szCs w:val="24"/>
        </w:rPr>
        <w:t xml:space="preserve">спрямо </w:t>
      </w:r>
      <w:r w:rsidR="00053EE4">
        <w:rPr>
          <w:rFonts w:eastAsia="Calibri" w:cs="Calibri"/>
          <w:sz w:val="24"/>
          <w:szCs w:val="24"/>
        </w:rPr>
        <w:t>първо полугодие на 2016 г.</w:t>
      </w:r>
      <w:r w:rsidR="00352ED2">
        <w:rPr>
          <w:rFonts w:eastAsia="Calibri" w:cs="Calibri"/>
          <w:sz w:val="24"/>
          <w:szCs w:val="24"/>
        </w:rPr>
        <w:t xml:space="preserve">, както и </w:t>
      </w:r>
      <w:r w:rsidR="00053EE4">
        <w:rPr>
          <w:rFonts w:eastAsia="Calibri" w:cs="Calibri"/>
          <w:sz w:val="24"/>
          <w:szCs w:val="24"/>
        </w:rPr>
        <w:t xml:space="preserve">в резултат </w:t>
      </w:r>
      <w:r w:rsidR="009B5435">
        <w:rPr>
          <w:rFonts w:eastAsia="Calibri" w:cs="Calibri"/>
          <w:sz w:val="24"/>
          <w:szCs w:val="24"/>
        </w:rPr>
        <w:t>на</w:t>
      </w:r>
      <w:r w:rsidR="009B5435">
        <w:rPr>
          <w:rFonts w:eastAsia="Calibri" w:cs="Calibri"/>
          <w:sz w:val="24"/>
          <w:szCs w:val="24"/>
          <w:lang w:val="en-US"/>
        </w:rPr>
        <w:t xml:space="preserve"> </w:t>
      </w:r>
      <w:r w:rsidR="00A31BD9">
        <w:rPr>
          <w:rFonts w:eastAsia="Calibri" w:cs="Calibri"/>
          <w:sz w:val="24"/>
          <w:szCs w:val="24"/>
        </w:rPr>
        <w:t xml:space="preserve">увеличение на продажбите в </w:t>
      </w:r>
      <w:r w:rsidR="00352ED2">
        <w:rPr>
          <w:rFonts w:eastAsia="Calibri" w:cs="Calibri"/>
          <w:sz w:val="24"/>
          <w:szCs w:val="24"/>
        </w:rPr>
        <w:t>Полша</w:t>
      </w:r>
      <w:r w:rsidR="00585A3C">
        <w:rPr>
          <w:rFonts w:eastAsia="Calibri" w:cs="Calibri"/>
          <w:sz w:val="24"/>
          <w:szCs w:val="24"/>
        </w:rPr>
        <w:t>,</w:t>
      </w:r>
      <w:r>
        <w:rPr>
          <w:rFonts w:eastAsia="Calibri" w:cs="Calibri"/>
          <w:sz w:val="24"/>
          <w:szCs w:val="24"/>
        </w:rPr>
        <w:t xml:space="preserve"> Молдова</w:t>
      </w:r>
      <w:r w:rsidR="00585A3C">
        <w:rPr>
          <w:rFonts w:eastAsia="Calibri" w:cs="Calibri"/>
          <w:sz w:val="24"/>
          <w:szCs w:val="24"/>
        </w:rPr>
        <w:t>, Беларус и Сърбия</w:t>
      </w:r>
      <w:r>
        <w:rPr>
          <w:rFonts w:eastAsia="Calibri" w:cs="Calibri"/>
          <w:sz w:val="24"/>
          <w:szCs w:val="24"/>
        </w:rPr>
        <w:t>.</w:t>
      </w:r>
      <w:r>
        <w:rPr>
          <w:sz w:val="24"/>
          <w:szCs w:val="24"/>
        </w:rPr>
        <w:t xml:space="preserve"> </w:t>
      </w:r>
      <w:r w:rsidR="00352ED2" w:rsidRPr="00352ED2">
        <w:rPr>
          <w:sz w:val="24"/>
          <w:szCs w:val="24"/>
        </w:rPr>
        <w:t xml:space="preserve">Продажбите на руския </w:t>
      </w:r>
      <w:r w:rsidR="00352ED2" w:rsidRPr="00352ED2">
        <w:rPr>
          <w:sz w:val="24"/>
          <w:szCs w:val="24"/>
        </w:rPr>
        <w:lastRenderedPageBreak/>
        <w:t xml:space="preserve">пазар през </w:t>
      </w:r>
      <w:r w:rsidR="00352ED2">
        <w:rPr>
          <w:sz w:val="24"/>
          <w:szCs w:val="24"/>
        </w:rPr>
        <w:t xml:space="preserve">първото </w:t>
      </w:r>
      <w:r w:rsidR="00585A3C">
        <w:rPr>
          <w:sz w:val="24"/>
          <w:szCs w:val="24"/>
        </w:rPr>
        <w:t xml:space="preserve">полугодие </w:t>
      </w:r>
      <w:r w:rsidR="00352ED2" w:rsidRPr="00352ED2">
        <w:rPr>
          <w:sz w:val="24"/>
          <w:szCs w:val="24"/>
        </w:rPr>
        <w:t xml:space="preserve">затвърждават възходящия тренд от </w:t>
      </w:r>
      <w:r w:rsidR="00352ED2">
        <w:rPr>
          <w:sz w:val="24"/>
          <w:szCs w:val="24"/>
        </w:rPr>
        <w:t>края на миналата година</w:t>
      </w:r>
      <w:r w:rsidR="00352ED2" w:rsidRPr="00352ED2">
        <w:rPr>
          <w:sz w:val="24"/>
          <w:szCs w:val="24"/>
        </w:rPr>
        <w:t xml:space="preserve"> и са реален индикатор за подобряването на ико</w:t>
      </w:r>
      <w:r w:rsidR="00352ED2">
        <w:rPr>
          <w:sz w:val="24"/>
          <w:szCs w:val="24"/>
        </w:rPr>
        <w:t>но</w:t>
      </w:r>
      <w:r w:rsidR="00352ED2" w:rsidRPr="00352ED2">
        <w:rPr>
          <w:sz w:val="24"/>
          <w:szCs w:val="24"/>
        </w:rPr>
        <w:t xml:space="preserve">мическата ситуация в страната. </w:t>
      </w:r>
      <w:r w:rsidR="00352ED2">
        <w:rPr>
          <w:sz w:val="24"/>
          <w:szCs w:val="24"/>
        </w:rPr>
        <w:t>Очакванията на мениджмънта на Дружеството са</w:t>
      </w:r>
      <w:r w:rsidR="00352ED2" w:rsidRPr="00352ED2">
        <w:rPr>
          <w:sz w:val="24"/>
          <w:szCs w:val="24"/>
        </w:rPr>
        <w:t xml:space="preserve">, че продажбите </w:t>
      </w:r>
      <w:r w:rsidR="00352ED2">
        <w:rPr>
          <w:sz w:val="24"/>
          <w:szCs w:val="24"/>
        </w:rPr>
        <w:t xml:space="preserve">на този основен пазар </w:t>
      </w:r>
      <w:r w:rsidR="00352ED2" w:rsidRPr="00352ED2">
        <w:rPr>
          <w:sz w:val="24"/>
          <w:szCs w:val="24"/>
        </w:rPr>
        <w:t xml:space="preserve">ще се развиват във възходяща посока и </w:t>
      </w:r>
      <w:r w:rsidR="00585A3C">
        <w:rPr>
          <w:sz w:val="24"/>
          <w:szCs w:val="24"/>
        </w:rPr>
        <w:t>до края на годината</w:t>
      </w:r>
      <w:r w:rsidR="00A31BD9">
        <w:rPr>
          <w:sz w:val="24"/>
          <w:szCs w:val="24"/>
        </w:rPr>
        <w:t>.</w:t>
      </w:r>
    </w:p>
    <w:p w:rsidR="00F80195" w:rsidRPr="00AE6DEE" w:rsidRDefault="00F80195" w:rsidP="00F80195">
      <w:pPr>
        <w:numPr>
          <w:ilvl w:val="0"/>
          <w:numId w:val="1"/>
        </w:numPr>
        <w:suppressAutoHyphens/>
        <w:autoSpaceDN w:val="0"/>
        <w:spacing w:before="40" w:after="40" w:line="240" w:lineRule="auto"/>
        <w:ind w:left="993"/>
        <w:jc w:val="both"/>
        <w:textAlignment w:val="baseline"/>
        <w:rPr>
          <w:rFonts w:eastAsia="Calibri" w:cs="Calibri"/>
          <w:sz w:val="24"/>
          <w:szCs w:val="24"/>
        </w:rPr>
      </w:pPr>
      <w:r w:rsidRPr="00AE6DEE">
        <w:rPr>
          <w:rFonts w:eastAsia="Calibri" w:cs="Calibri"/>
          <w:sz w:val="24"/>
          <w:szCs w:val="24"/>
        </w:rPr>
        <w:t>Пазар България</w:t>
      </w: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r w:rsidRPr="00AE6DEE">
        <w:rPr>
          <w:rFonts w:eastAsia="Calibri" w:cs="Calibri"/>
          <w:sz w:val="24"/>
          <w:szCs w:val="24"/>
        </w:rPr>
        <w:t xml:space="preserve">Продажбите на Софарма АД на вътрешния пазар </w:t>
      </w:r>
      <w:r w:rsidR="00F5515D">
        <w:rPr>
          <w:rFonts w:eastAsia="Calibri" w:cs="Calibri"/>
          <w:sz w:val="24"/>
          <w:szCs w:val="24"/>
        </w:rPr>
        <w:t xml:space="preserve">се увеличават </w:t>
      </w:r>
      <w:r>
        <w:rPr>
          <w:rFonts w:eastAsia="Calibri" w:cs="Calibri"/>
          <w:sz w:val="24"/>
          <w:szCs w:val="24"/>
        </w:rPr>
        <w:t xml:space="preserve">с </w:t>
      </w:r>
      <w:r w:rsidR="00F5515D">
        <w:rPr>
          <w:rFonts w:eastAsia="Calibri" w:cs="Calibri"/>
          <w:sz w:val="24"/>
          <w:szCs w:val="24"/>
        </w:rPr>
        <w:t>0,3</w:t>
      </w:r>
      <w:r>
        <w:rPr>
          <w:rFonts w:eastAsia="Calibri" w:cs="Calibri"/>
          <w:sz w:val="24"/>
          <w:szCs w:val="24"/>
        </w:rPr>
        <w:t xml:space="preserve"> млн. лв. или с </w:t>
      </w:r>
      <w:r w:rsidR="00F5515D">
        <w:rPr>
          <w:rFonts w:eastAsia="Calibri" w:cs="Calibri"/>
          <w:sz w:val="24"/>
          <w:szCs w:val="24"/>
        </w:rPr>
        <w:t>1</w:t>
      </w:r>
      <w:r>
        <w:rPr>
          <w:rFonts w:eastAsia="Calibri" w:cs="Calibri"/>
          <w:sz w:val="24"/>
          <w:szCs w:val="24"/>
        </w:rPr>
        <w:t xml:space="preserve">%, до  </w:t>
      </w:r>
      <w:r w:rsidR="00F5515D">
        <w:rPr>
          <w:rFonts w:eastAsia="Calibri" w:cs="Calibri"/>
          <w:sz w:val="24"/>
          <w:szCs w:val="24"/>
        </w:rPr>
        <w:t>33</w:t>
      </w:r>
      <w:r w:rsidRPr="00EC0C5B">
        <w:rPr>
          <w:rFonts w:eastAsia="Calibri" w:cs="Calibri"/>
          <w:sz w:val="24"/>
          <w:szCs w:val="24"/>
          <w:lang w:val="ru-RU"/>
        </w:rPr>
        <w:t xml:space="preserve"> </w:t>
      </w:r>
      <w:r>
        <w:rPr>
          <w:rFonts w:eastAsia="Calibri" w:cs="Calibri"/>
          <w:sz w:val="24"/>
          <w:szCs w:val="24"/>
        </w:rPr>
        <w:t xml:space="preserve">млн. лв. през </w:t>
      </w:r>
      <w:r w:rsidR="00A31BD9">
        <w:rPr>
          <w:rFonts w:eastAsia="Calibri" w:cs="Calibri"/>
          <w:sz w:val="24"/>
          <w:szCs w:val="24"/>
        </w:rPr>
        <w:t xml:space="preserve">първото </w:t>
      </w:r>
      <w:r w:rsidR="00F5515D">
        <w:rPr>
          <w:rFonts w:eastAsia="Calibri" w:cs="Calibri"/>
          <w:sz w:val="24"/>
          <w:szCs w:val="24"/>
        </w:rPr>
        <w:t xml:space="preserve">полугодие </w:t>
      </w:r>
      <w:r w:rsidR="00A31BD9">
        <w:rPr>
          <w:rFonts w:eastAsia="Calibri" w:cs="Calibri"/>
          <w:sz w:val="24"/>
          <w:szCs w:val="24"/>
        </w:rPr>
        <w:t xml:space="preserve">на </w:t>
      </w:r>
      <w:r>
        <w:rPr>
          <w:rFonts w:eastAsia="Calibri" w:cs="Calibri"/>
          <w:sz w:val="24"/>
          <w:szCs w:val="24"/>
        </w:rPr>
        <w:t>2017</w:t>
      </w:r>
      <w:r w:rsidRPr="00313D6C">
        <w:rPr>
          <w:rFonts w:eastAsia="Calibri" w:cs="Calibri"/>
          <w:sz w:val="24"/>
          <w:szCs w:val="24"/>
        </w:rPr>
        <w:t xml:space="preserve"> </w:t>
      </w:r>
      <w:r>
        <w:rPr>
          <w:rFonts w:eastAsia="Calibri" w:cs="Calibri"/>
          <w:sz w:val="24"/>
          <w:szCs w:val="24"/>
        </w:rPr>
        <w:t xml:space="preserve">г. спрямо </w:t>
      </w:r>
      <w:r w:rsidR="00F5515D">
        <w:rPr>
          <w:rFonts w:eastAsia="Calibri" w:cs="Calibri"/>
          <w:sz w:val="24"/>
          <w:szCs w:val="24"/>
        </w:rPr>
        <w:t>32,7</w:t>
      </w:r>
      <w:r>
        <w:rPr>
          <w:rFonts w:eastAsia="Calibri" w:cs="Calibri"/>
          <w:sz w:val="24"/>
          <w:szCs w:val="24"/>
        </w:rPr>
        <w:t xml:space="preserve"> млн. лв. през  </w:t>
      </w:r>
      <w:r w:rsidR="00A31BD9">
        <w:rPr>
          <w:rFonts w:eastAsia="Calibri" w:cs="Calibri"/>
          <w:sz w:val="24"/>
          <w:szCs w:val="24"/>
        </w:rPr>
        <w:t xml:space="preserve">първото </w:t>
      </w:r>
      <w:r w:rsidR="00F5515D">
        <w:rPr>
          <w:rFonts w:eastAsia="Calibri" w:cs="Calibri"/>
          <w:sz w:val="24"/>
          <w:szCs w:val="24"/>
        </w:rPr>
        <w:t>полугодие</w:t>
      </w:r>
      <w:r w:rsidR="008B1BC1">
        <w:rPr>
          <w:rFonts w:eastAsia="Calibri" w:cs="Calibri"/>
          <w:sz w:val="24"/>
          <w:szCs w:val="24"/>
        </w:rPr>
        <w:t xml:space="preserve"> </w:t>
      </w:r>
      <w:r w:rsidR="00A31BD9">
        <w:rPr>
          <w:rFonts w:eastAsia="Calibri" w:cs="Calibri"/>
          <w:sz w:val="24"/>
          <w:szCs w:val="24"/>
        </w:rPr>
        <w:t xml:space="preserve">на </w:t>
      </w:r>
      <w:r w:rsidRPr="00313D6C">
        <w:rPr>
          <w:rFonts w:eastAsia="Calibri" w:cs="Calibri"/>
          <w:sz w:val="24"/>
          <w:szCs w:val="24"/>
        </w:rPr>
        <w:t>20</w:t>
      </w:r>
      <w:r>
        <w:rPr>
          <w:rFonts w:eastAsia="Calibri" w:cs="Calibri"/>
          <w:sz w:val="24"/>
          <w:szCs w:val="24"/>
        </w:rPr>
        <w:t>16</w:t>
      </w:r>
      <w:r w:rsidRPr="00313D6C">
        <w:rPr>
          <w:rFonts w:eastAsia="Calibri" w:cs="Calibri"/>
          <w:sz w:val="24"/>
          <w:szCs w:val="24"/>
        </w:rPr>
        <w:t xml:space="preserve"> </w:t>
      </w:r>
      <w:r>
        <w:rPr>
          <w:rFonts w:eastAsia="Calibri" w:cs="Calibri"/>
          <w:sz w:val="24"/>
          <w:szCs w:val="24"/>
        </w:rPr>
        <w:t>г.</w:t>
      </w:r>
      <w:r>
        <w:t xml:space="preserve"> </w:t>
      </w:r>
      <w:r w:rsidRPr="00313D6C">
        <w:rPr>
          <w:rFonts w:cs="Calibri"/>
          <w:sz w:val="24"/>
          <w:szCs w:val="24"/>
        </w:rPr>
        <w:t>Продуктите с най-голям дял от продажбите в страната са</w:t>
      </w:r>
      <w:r w:rsidRPr="00313D6C">
        <w:rPr>
          <w:rFonts w:eastAsia="Calibri" w:cs="Calibri"/>
          <w:sz w:val="24"/>
          <w:szCs w:val="24"/>
        </w:rPr>
        <w:t xml:space="preserve"> </w:t>
      </w:r>
      <w:r>
        <w:rPr>
          <w:rFonts w:eastAsia="Calibri" w:cs="Calibri"/>
          <w:sz w:val="24"/>
          <w:szCs w:val="24"/>
        </w:rPr>
        <w:t xml:space="preserve">Аналгин, </w:t>
      </w:r>
      <w:r w:rsidRPr="00313D6C">
        <w:rPr>
          <w:rFonts w:eastAsia="Calibri" w:cs="Calibri"/>
          <w:sz w:val="24"/>
          <w:szCs w:val="24"/>
        </w:rPr>
        <w:t xml:space="preserve">Метилпреднизолон, Вицетин, </w:t>
      </w:r>
      <w:r w:rsidR="00F5515D">
        <w:rPr>
          <w:rFonts w:eastAsia="Calibri" w:cs="Calibri"/>
          <w:sz w:val="24"/>
          <w:szCs w:val="24"/>
        </w:rPr>
        <w:t>Витамин С, Нивалин</w:t>
      </w:r>
      <w:r w:rsidR="00F5515D" w:rsidRPr="00A32706">
        <w:rPr>
          <w:rFonts w:eastAsia="Calibri" w:cs="Calibri"/>
          <w:sz w:val="24"/>
          <w:szCs w:val="24"/>
        </w:rPr>
        <w:t>.</w:t>
      </w:r>
      <w:r w:rsidRPr="00A32706">
        <w:rPr>
          <w:rFonts w:eastAsia="Calibri" w:cs="Calibri"/>
          <w:sz w:val="24"/>
          <w:szCs w:val="24"/>
        </w:rPr>
        <w:t xml:space="preserve"> Дружеството заема 4 % от общия обем на българския фармацевтичен пазар в стойност и 14% от продажбите в натурално изражение. Позициите на основните конкуренти на дружеството на територията на страната са както следва: Nоvartis—</w:t>
      </w:r>
      <w:r w:rsidRPr="00A32706">
        <w:rPr>
          <w:rFonts w:eastAsia="Calibri" w:cs="Calibri"/>
          <w:sz w:val="24"/>
          <w:szCs w:val="24"/>
          <w:lang w:val="ru-RU"/>
        </w:rPr>
        <w:t>7</w:t>
      </w:r>
      <w:r w:rsidRPr="00A32706">
        <w:rPr>
          <w:rFonts w:eastAsia="Calibri" w:cs="Calibri"/>
          <w:sz w:val="24"/>
          <w:szCs w:val="24"/>
        </w:rPr>
        <w:t>% (4% в бр.), Roche – 6</w:t>
      </w:r>
      <w:r w:rsidR="008460C8">
        <w:rPr>
          <w:rFonts w:eastAsia="Calibri" w:cs="Calibri"/>
          <w:sz w:val="24"/>
          <w:szCs w:val="24"/>
        </w:rPr>
        <w:t>%</w:t>
      </w:r>
      <w:r w:rsidRPr="00A32706">
        <w:rPr>
          <w:rFonts w:eastAsia="Calibri" w:cs="Calibri"/>
          <w:sz w:val="24"/>
          <w:szCs w:val="24"/>
        </w:rPr>
        <w:t xml:space="preserve"> (0,3% в бр.), Actavis - </w:t>
      </w:r>
      <w:r w:rsidR="00A32706">
        <w:rPr>
          <w:rFonts w:eastAsia="Calibri" w:cs="Calibri"/>
          <w:sz w:val="24"/>
          <w:szCs w:val="24"/>
          <w:lang w:val="en-US"/>
        </w:rPr>
        <w:t>6</w:t>
      </w:r>
      <w:r w:rsidRPr="00A32706">
        <w:rPr>
          <w:rFonts w:eastAsia="Calibri" w:cs="Calibri"/>
          <w:sz w:val="24"/>
          <w:szCs w:val="24"/>
        </w:rPr>
        <w:t>% (1</w:t>
      </w:r>
      <w:r w:rsidR="00A32706">
        <w:rPr>
          <w:rFonts w:eastAsia="Calibri" w:cs="Calibri"/>
          <w:sz w:val="24"/>
          <w:szCs w:val="24"/>
          <w:lang w:val="en-US"/>
        </w:rPr>
        <w:t>1</w:t>
      </w:r>
      <w:r w:rsidRPr="00A32706">
        <w:rPr>
          <w:rFonts w:eastAsia="Calibri" w:cs="Calibri"/>
          <w:sz w:val="24"/>
          <w:szCs w:val="24"/>
        </w:rPr>
        <w:t xml:space="preserve">% в бр.), Glaxosmithkline – 4% (3% в бр.), </w:t>
      </w:r>
      <w:r w:rsidR="00A32706" w:rsidRPr="00A32706">
        <w:rPr>
          <w:rFonts w:eastAsia="Calibri" w:cs="Calibri"/>
          <w:sz w:val="24"/>
          <w:szCs w:val="24"/>
        </w:rPr>
        <w:t xml:space="preserve">Abbvie - 4% (0% в бр.), </w:t>
      </w:r>
      <w:r w:rsidRPr="00A32706">
        <w:rPr>
          <w:rFonts w:eastAsia="Calibri" w:cs="Calibri"/>
          <w:sz w:val="24"/>
          <w:szCs w:val="24"/>
          <w:lang w:val="en-US"/>
        </w:rPr>
        <w:t>Sanofi</w:t>
      </w:r>
      <w:r w:rsidRPr="00A32706">
        <w:rPr>
          <w:rFonts w:eastAsia="Calibri" w:cs="Calibri"/>
          <w:sz w:val="24"/>
          <w:szCs w:val="24"/>
          <w:lang w:val="ru-RU"/>
        </w:rPr>
        <w:t>-</w:t>
      </w:r>
      <w:r w:rsidRPr="00A32706">
        <w:rPr>
          <w:rFonts w:eastAsia="Calibri" w:cs="Calibri"/>
          <w:sz w:val="24"/>
          <w:szCs w:val="24"/>
          <w:lang w:val="en-US"/>
        </w:rPr>
        <w:t>Aventis</w:t>
      </w:r>
      <w:r w:rsidRPr="00396560">
        <w:rPr>
          <w:rFonts w:eastAsia="Calibri" w:cs="Calibri"/>
          <w:sz w:val="24"/>
          <w:szCs w:val="24"/>
          <w:lang w:val="ru-RU"/>
        </w:rPr>
        <w:t xml:space="preserve"> – </w:t>
      </w:r>
      <w:r w:rsidR="00A32706">
        <w:rPr>
          <w:rFonts w:eastAsia="Calibri" w:cs="Calibri"/>
          <w:sz w:val="24"/>
          <w:szCs w:val="24"/>
          <w:lang w:val="en-US"/>
        </w:rPr>
        <w:t>4</w:t>
      </w:r>
      <w:r w:rsidRPr="00A32706">
        <w:rPr>
          <w:rFonts w:eastAsia="Calibri" w:cs="Calibri"/>
          <w:sz w:val="24"/>
          <w:szCs w:val="24"/>
          <w:lang w:val="ru-RU"/>
        </w:rPr>
        <w:t xml:space="preserve">% (3% </w:t>
      </w:r>
      <w:r w:rsidRPr="00A32706">
        <w:rPr>
          <w:rFonts w:eastAsia="Calibri" w:cs="Calibri"/>
          <w:sz w:val="24"/>
          <w:szCs w:val="24"/>
        </w:rPr>
        <w:t>в бр.), Astra Zeneca – 3 % (</w:t>
      </w:r>
      <w:r w:rsidRPr="00396560">
        <w:rPr>
          <w:rFonts w:eastAsia="Calibri" w:cs="Calibri"/>
          <w:sz w:val="24"/>
          <w:szCs w:val="24"/>
          <w:lang w:val="ru-RU"/>
        </w:rPr>
        <w:t>1</w:t>
      </w:r>
      <w:r w:rsidRPr="00396560">
        <w:rPr>
          <w:rFonts w:eastAsia="Calibri" w:cs="Calibri"/>
          <w:sz w:val="24"/>
          <w:szCs w:val="24"/>
        </w:rPr>
        <w:t xml:space="preserve">% в бр.), </w:t>
      </w:r>
      <w:r w:rsidRPr="00396560">
        <w:rPr>
          <w:rFonts w:eastAsia="Calibri" w:cs="Calibri"/>
          <w:sz w:val="24"/>
          <w:szCs w:val="24"/>
          <w:lang w:val="en-US"/>
        </w:rPr>
        <w:t xml:space="preserve">Pfizer – 3% </w:t>
      </w:r>
      <w:r w:rsidRPr="00396560">
        <w:rPr>
          <w:rFonts w:eastAsia="Calibri" w:cs="Calibri"/>
          <w:sz w:val="24"/>
          <w:szCs w:val="24"/>
        </w:rPr>
        <w:t xml:space="preserve">(1% бр.), Bayer – </w:t>
      </w:r>
      <w:r w:rsidRPr="00396560">
        <w:rPr>
          <w:rFonts w:eastAsia="Calibri" w:cs="Calibri"/>
          <w:sz w:val="24"/>
          <w:szCs w:val="24"/>
          <w:lang w:val="ru-RU"/>
        </w:rPr>
        <w:t>3</w:t>
      </w:r>
      <w:r w:rsidRPr="00396560">
        <w:rPr>
          <w:rFonts w:eastAsia="Calibri" w:cs="Calibri"/>
          <w:sz w:val="24"/>
          <w:szCs w:val="24"/>
        </w:rPr>
        <w:t>% (</w:t>
      </w:r>
      <w:r w:rsidRPr="00396560">
        <w:rPr>
          <w:rFonts w:eastAsia="Calibri" w:cs="Calibri"/>
          <w:sz w:val="24"/>
          <w:szCs w:val="24"/>
          <w:lang w:val="ru-RU"/>
        </w:rPr>
        <w:t>2</w:t>
      </w:r>
      <w:r w:rsidRPr="00396560">
        <w:rPr>
          <w:rFonts w:eastAsia="Calibri" w:cs="Calibri"/>
          <w:sz w:val="24"/>
          <w:szCs w:val="24"/>
        </w:rPr>
        <w:t>% в бр.).</w:t>
      </w:r>
    </w:p>
    <w:p w:rsidR="00F80195" w:rsidRPr="00AE6DEE" w:rsidRDefault="00F80195" w:rsidP="00F80195">
      <w:pPr>
        <w:numPr>
          <w:ilvl w:val="1"/>
          <w:numId w:val="2"/>
        </w:numPr>
        <w:suppressAutoHyphens/>
        <w:autoSpaceDN w:val="0"/>
        <w:spacing w:before="40" w:after="40" w:line="240" w:lineRule="auto"/>
        <w:ind w:left="1080"/>
        <w:jc w:val="both"/>
        <w:textAlignment w:val="baseline"/>
        <w:rPr>
          <w:rFonts w:eastAsia="Calibri" w:cs="Calibri"/>
          <w:sz w:val="24"/>
          <w:szCs w:val="24"/>
        </w:rPr>
      </w:pPr>
      <w:r w:rsidRPr="00AE6DEE">
        <w:rPr>
          <w:rFonts w:eastAsia="Calibri" w:cs="Calibri"/>
          <w:sz w:val="24"/>
          <w:szCs w:val="24"/>
        </w:rPr>
        <w:t>Други пазари</w:t>
      </w:r>
    </w:p>
    <w:p w:rsidR="00F80195" w:rsidRDefault="00F80195" w:rsidP="00F80195">
      <w:pPr>
        <w:suppressAutoHyphens/>
        <w:autoSpaceDN w:val="0"/>
        <w:spacing w:before="40" w:after="40" w:line="240" w:lineRule="auto"/>
        <w:jc w:val="both"/>
        <w:textAlignment w:val="baseline"/>
        <w:rPr>
          <w:rFonts w:eastAsia="Calibri" w:cs="Calibri"/>
          <w:sz w:val="24"/>
          <w:szCs w:val="24"/>
        </w:rPr>
      </w:pPr>
      <w:r w:rsidRPr="00A81033">
        <w:rPr>
          <w:rFonts w:eastAsia="Calibri" w:cs="Calibri"/>
          <w:sz w:val="24"/>
          <w:szCs w:val="24"/>
        </w:rPr>
        <w:t xml:space="preserve">Приходите от другите пазари се увеличават с </w:t>
      </w:r>
      <w:r w:rsidR="00F5515D">
        <w:rPr>
          <w:rFonts w:eastAsia="Calibri" w:cs="Calibri"/>
          <w:sz w:val="24"/>
          <w:szCs w:val="24"/>
        </w:rPr>
        <w:t>24</w:t>
      </w:r>
      <w:r w:rsidRPr="00A81033">
        <w:rPr>
          <w:rFonts w:eastAsia="Calibri" w:cs="Calibri"/>
          <w:sz w:val="24"/>
          <w:szCs w:val="24"/>
        </w:rPr>
        <w:t xml:space="preserve">% спрямо  </w:t>
      </w:r>
      <w:r w:rsidR="00A31BD9">
        <w:rPr>
          <w:rFonts w:eastAsia="Calibri" w:cs="Calibri"/>
          <w:sz w:val="24"/>
          <w:szCs w:val="24"/>
        </w:rPr>
        <w:t xml:space="preserve">първото </w:t>
      </w:r>
      <w:r w:rsidR="00F5515D">
        <w:rPr>
          <w:rFonts w:eastAsia="Calibri" w:cs="Calibri"/>
          <w:sz w:val="24"/>
          <w:szCs w:val="24"/>
        </w:rPr>
        <w:t xml:space="preserve">полугодие </w:t>
      </w:r>
      <w:r w:rsidR="00A31BD9">
        <w:rPr>
          <w:rFonts w:eastAsia="Calibri" w:cs="Calibri"/>
          <w:sz w:val="24"/>
          <w:szCs w:val="24"/>
        </w:rPr>
        <w:t xml:space="preserve">на </w:t>
      </w:r>
      <w:r w:rsidRPr="00A81033">
        <w:rPr>
          <w:rFonts w:eastAsia="Calibri" w:cs="Calibri"/>
          <w:sz w:val="24"/>
          <w:szCs w:val="24"/>
        </w:rPr>
        <w:t>201</w:t>
      </w:r>
      <w:r>
        <w:rPr>
          <w:rFonts w:eastAsia="Calibri" w:cs="Calibri"/>
          <w:sz w:val="24"/>
          <w:szCs w:val="24"/>
        </w:rPr>
        <w:t xml:space="preserve">6 г. Тук основно се включват </w:t>
      </w:r>
      <w:r w:rsidRPr="00AE6DEE">
        <w:rPr>
          <w:rFonts w:eastAsia="Calibri" w:cs="Calibri"/>
          <w:sz w:val="24"/>
          <w:szCs w:val="24"/>
        </w:rPr>
        <w:t>приходите от продажби в Кавказ и Централна Азия</w:t>
      </w:r>
      <w:r w:rsidR="00A31BD9">
        <w:rPr>
          <w:rFonts w:eastAsia="Calibri" w:cs="Calibri"/>
          <w:sz w:val="24"/>
          <w:szCs w:val="24"/>
        </w:rPr>
        <w:t xml:space="preserve">, които бележат ръст от </w:t>
      </w:r>
      <w:r w:rsidR="00F5515D">
        <w:rPr>
          <w:rFonts w:eastAsia="Calibri" w:cs="Calibri"/>
          <w:sz w:val="24"/>
          <w:szCs w:val="24"/>
        </w:rPr>
        <w:t>13</w:t>
      </w:r>
      <w:r w:rsidR="00A31BD9">
        <w:rPr>
          <w:rFonts w:eastAsia="Calibri" w:cs="Calibri"/>
          <w:sz w:val="24"/>
          <w:szCs w:val="24"/>
        </w:rPr>
        <w:t xml:space="preserve">% спрямо първото </w:t>
      </w:r>
      <w:r w:rsidR="00F5515D">
        <w:rPr>
          <w:rFonts w:eastAsia="Calibri" w:cs="Calibri"/>
          <w:sz w:val="24"/>
          <w:szCs w:val="24"/>
        </w:rPr>
        <w:t xml:space="preserve">полугодие </w:t>
      </w:r>
      <w:r w:rsidR="00A31BD9">
        <w:rPr>
          <w:rFonts w:eastAsia="Calibri" w:cs="Calibri"/>
          <w:sz w:val="24"/>
          <w:szCs w:val="24"/>
        </w:rPr>
        <w:t>на 2016 г.</w:t>
      </w:r>
      <w:r>
        <w:rPr>
          <w:rFonts w:eastAsia="Calibri" w:cs="Calibri"/>
          <w:sz w:val="24"/>
          <w:szCs w:val="24"/>
        </w:rPr>
        <w:t xml:space="preserve"> </w:t>
      </w:r>
      <w:r w:rsidR="00A31BD9">
        <w:rPr>
          <w:rFonts w:eastAsia="Calibri" w:cs="Calibri"/>
          <w:sz w:val="24"/>
          <w:szCs w:val="24"/>
        </w:rPr>
        <w:t>Увеличават се продажбите във</w:t>
      </w:r>
      <w:r>
        <w:rPr>
          <w:rFonts w:eastAsia="Calibri" w:cs="Calibri"/>
          <w:sz w:val="24"/>
          <w:szCs w:val="24"/>
        </w:rPr>
        <w:t xml:space="preserve"> Виетнам</w:t>
      </w:r>
      <w:r w:rsidR="00A31BD9">
        <w:rPr>
          <w:rFonts w:eastAsia="Calibri" w:cs="Calibri"/>
          <w:sz w:val="24"/>
          <w:szCs w:val="24"/>
        </w:rPr>
        <w:t xml:space="preserve"> с </w:t>
      </w:r>
      <w:r w:rsidR="00F5515D">
        <w:rPr>
          <w:rFonts w:eastAsia="Calibri" w:cs="Calibri"/>
          <w:sz w:val="24"/>
          <w:szCs w:val="24"/>
        </w:rPr>
        <w:t>89</w:t>
      </w:r>
      <w:r w:rsidR="00A31BD9">
        <w:rPr>
          <w:rFonts w:eastAsia="Calibri" w:cs="Calibri"/>
          <w:sz w:val="24"/>
          <w:szCs w:val="24"/>
        </w:rPr>
        <w:t>%.</w:t>
      </w:r>
    </w:p>
    <w:p w:rsidR="00A31BD9" w:rsidRDefault="00A31BD9" w:rsidP="00F80195">
      <w:pPr>
        <w:suppressAutoHyphens/>
        <w:autoSpaceDN w:val="0"/>
        <w:spacing w:before="40" w:after="40" w:line="240" w:lineRule="auto"/>
        <w:jc w:val="both"/>
        <w:textAlignment w:val="baseline"/>
        <w:rPr>
          <w:rFonts w:eastAsia="Calibri" w:cs="Calibri"/>
          <w:b/>
          <w:i/>
          <w:color w:val="1F497D"/>
          <w:sz w:val="24"/>
          <w:szCs w:val="24"/>
        </w:rPr>
      </w:pPr>
    </w:p>
    <w:p w:rsidR="00F80195" w:rsidRDefault="00F80195" w:rsidP="00F80195">
      <w:pPr>
        <w:suppressAutoHyphens/>
        <w:autoSpaceDN w:val="0"/>
        <w:spacing w:before="40" w:after="40" w:line="240" w:lineRule="auto"/>
        <w:jc w:val="both"/>
        <w:textAlignment w:val="baseline"/>
        <w:rPr>
          <w:rFonts w:eastAsia="Calibri" w:cs="Calibri"/>
          <w:b/>
          <w:i/>
          <w:color w:val="1F497D"/>
          <w:sz w:val="24"/>
          <w:szCs w:val="24"/>
        </w:rPr>
      </w:pPr>
      <w:r w:rsidRPr="00CC5D38">
        <w:rPr>
          <w:rFonts w:eastAsia="Calibri" w:cs="Calibri"/>
          <w:i/>
          <w:color w:val="1F497D"/>
          <w:sz w:val="24"/>
          <w:szCs w:val="24"/>
        </w:rPr>
        <w:t>Продажби по видове лекарствени форми</w:t>
      </w:r>
    </w:p>
    <w:p w:rsidR="00F80195" w:rsidRDefault="00F80195" w:rsidP="00F80195">
      <w:pPr>
        <w:suppressAutoHyphens/>
        <w:autoSpaceDN w:val="0"/>
        <w:spacing w:before="40" w:after="40" w:line="240" w:lineRule="auto"/>
        <w:jc w:val="both"/>
        <w:textAlignment w:val="baseline"/>
        <w:rPr>
          <w:rFonts w:eastAsia="Calibri" w:cs="Calibri"/>
          <w:sz w:val="24"/>
          <w:szCs w:val="24"/>
          <w:lang w:eastAsia="en-US"/>
        </w:rPr>
      </w:pPr>
      <w:r w:rsidRPr="00A82684">
        <w:rPr>
          <w:rFonts w:eastAsia="Calibri" w:cs="Calibri"/>
          <w:sz w:val="24"/>
          <w:szCs w:val="24"/>
          <w:lang w:eastAsia="en-US"/>
        </w:rPr>
        <w:t xml:space="preserve">С най-висок относителен дял в обема на приходите от продажби са таблетните форми, следвани от ампули, </w:t>
      </w:r>
      <w:r>
        <w:rPr>
          <w:rFonts w:eastAsia="Calibri" w:cs="Calibri"/>
          <w:sz w:val="24"/>
          <w:szCs w:val="24"/>
          <w:lang w:eastAsia="en-US"/>
        </w:rPr>
        <w:t xml:space="preserve"> </w:t>
      </w:r>
      <w:r w:rsidRPr="00A82684">
        <w:rPr>
          <w:rFonts w:eastAsia="Calibri" w:cs="Calibri"/>
          <w:sz w:val="24"/>
          <w:szCs w:val="24"/>
          <w:lang w:eastAsia="en-US"/>
        </w:rPr>
        <w:t>унгвенти</w:t>
      </w:r>
      <w:r w:rsidR="00F5515D">
        <w:rPr>
          <w:rFonts w:eastAsia="Calibri" w:cs="Calibri"/>
          <w:sz w:val="24"/>
          <w:szCs w:val="24"/>
          <w:lang w:eastAsia="en-US"/>
        </w:rPr>
        <w:t xml:space="preserve">, </w:t>
      </w:r>
      <w:r w:rsidRPr="00A82684">
        <w:rPr>
          <w:rFonts w:eastAsia="Calibri" w:cs="Calibri"/>
          <w:sz w:val="24"/>
          <w:szCs w:val="24"/>
          <w:lang w:eastAsia="en-US"/>
        </w:rPr>
        <w:t xml:space="preserve"> </w:t>
      </w:r>
      <w:r w:rsidR="00F5515D">
        <w:rPr>
          <w:rFonts w:eastAsia="Calibri" w:cs="Calibri"/>
          <w:sz w:val="24"/>
          <w:szCs w:val="24"/>
          <w:lang w:eastAsia="en-US"/>
        </w:rPr>
        <w:t>сиропи</w:t>
      </w:r>
      <w:r w:rsidR="00F5515D" w:rsidRPr="00A82684">
        <w:rPr>
          <w:rFonts w:eastAsia="Calibri" w:cs="Calibri"/>
          <w:sz w:val="24"/>
          <w:szCs w:val="24"/>
          <w:lang w:eastAsia="en-US"/>
        </w:rPr>
        <w:t xml:space="preserve"> </w:t>
      </w:r>
      <w:r w:rsidR="00F5515D">
        <w:rPr>
          <w:rFonts w:eastAsia="Calibri" w:cs="Calibri"/>
          <w:sz w:val="24"/>
          <w:szCs w:val="24"/>
          <w:lang w:eastAsia="en-US"/>
        </w:rPr>
        <w:t xml:space="preserve">, </w:t>
      </w:r>
      <w:r w:rsidRPr="00A82684">
        <w:rPr>
          <w:rFonts w:eastAsia="Calibri" w:cs="Calibri"/>
          <w:sz w:val="24"/>
          <w:szCs w:val="24"/>
          <w:lang w:eastAsia="en-US"/>
        </w:rPr>
        <w:t>лиофилни продукти</w:t>
      </w:r>
      <w:r>
        <w:rPr>
          <w:rFonts w:eastAsia="Calibri" w:cs="Calibri"/>
          <w:sz w:val="24"/>
          <w:szCs w:val="24"/>
          <w:lang w:eastAsia="en-US"/>
        </w:rPr>
        <w:t xml:space="preserve"> </w:t>
      </w:r>
      <w:r w:rsidRPr="00A82684">
        <w:rPr>
          <w:rFonts w:eastAsia="Calibri" w:cs="Calibri"/>
          <w:sz w:val="24"/>
          <w:szCs w:val="24"/>
          <w:lang w:eastAsia="en-US"/>
        </w:rPr>
        <w:t>и</w:t>
      </w:r>
      <w:r>
        <w:rPr>
          <w:rFonts w:eastAsia="Calibri" w:cs="Calibri"/>
          <w:sz w:val="24"/>
          <w:szCs w:val="24"/>
          <w:lang w:eastAsia="en-US"/>
        </w:rPr>
        <w:t xml:space="preserve"> други.</w:t>
      </w:r>
      <w:r w:rsidRPr="00A82684" w:rsidDel="00B5264D">
        <w:rPr>
          <w:rFonts w:eastAsia="Calibri" w:cs="Calibri"/>
          <w:sz w:val="24"/>
          <w:szCs w:val="24"/>
          <w:lang w:eastAsia="en-US"/>
        </w:rPr>
        <w:t xml:space="preserve"> </w:t>
      </w:r>
    </w:p>
    <w:p w:rsidR="00F80195" w:rsidRDefault="00F80195" w:rsidP="00F80195">
      <w:pPr>
        <w:suppressAutoHyphens/>
        <w:autoSpaceDN w:val="0"/>
        <w:spacing w:after="0" w:line="240" w:lineRule="auto"/>
        <w:jc w:val="both"/>
        <w:textAlignment w:val="baseline"/>
        <w:rPr>
          <w:rFonts w:eastAsia="Calibri" w:cs="Calibri"/>
          <w:color w:val="1F497D"/>
          <w:sz w:val="24"/>
          <w:szCs w:val="24"/>
        </w:rPr>
      </w:pPr>
    </w:p>
    <w:tbl>
      <w:tblPr>
        <w:tblpPr w:leftFromText="180" w:rightFromText="180" w:vertAnchor="text" w:tblpY="1"/>
        <w:tblOverlap w:val="never"/>
        <w:tblW w:w="5808" w:type="dxa"/>
        <w:tblLook w:val="04A0" w:firstRow="1" w:lastRow="0" w:firstColumn="1" w:lastColumn="0" w:noHBand="0" w:noVBand="1"/>
      </w:tblPr>
      <w:tblGrid>
        <w:gridCol w:w="2835"/>
        <w:gridCol w:w="993"/>
        <w:gridCol w:w="992"/>
        <w:gridCol w:w="988"/>
      </w:tblGrid>
      <w:tr w:rsidR="0005770E" w:rsidRPr="0005770E" w:rsidTr="00893A2E">
        <w:trPr>
          <w:trHeight w:val="320"/>
        </w:trPr>
        <w:tc>
          <w:tcPr>
            <w:tcW w:w="2835" w:type="dxa"/>
            <w:vMerge w:val="restart"/>
            <w:tcBorders>
              <w:top w:val="nil"/>
              <w:left w:val="nil"/>
              <w:bottom w:val="nil"/>
              <w:right w:val="nil"/>
            </w:tcBorders>
            <w:shd w:val="clear" w:color="auto" w:fill="auto"/>
            <w:vAlign w:val="center"/>
            <w:hideMark/>
          </w:tcPr>
          <w:p w:rsidR="0005770E" w:rsidRPr="0005770E" w:rsidRDefault="0005770E">
            <w:pPr>
              <w:spacing w:after="0" w:line="240" w:lineRule="auto"/>
              <w:jc w:val="center"/>
              <w:rPr>
                <w:rFonts w:eastAsia="Times New Roman" w:cs="Arial"/>
                <w:b/>
                <w:bCs/>
                <w:sz w:val="20"/>
                <w:szCs w:val="20"/>
                <w:lang w:val="en-US" w:eastAsia="en-US"/>
              </w:rPr>
            </w:pPr>
            <w:r w:rsidRPr="0005770E">
              <w:rPr>
                <w:rFonts w:eastAsia="Times New Roman" w:cs="Arial"/>
                <w:b/>
                <w:bCs/>
                <w:sz w:val="20"/>
                <w:szCs w:val="20"/>
                <w:lang w:val="en-US" w:eastAsia="en-US"/>
              </w:rPr>
              <w:t>Приходи по лекарствени форми</w:t>
            </w:r>
          </w:p>
        </w:tc>
        <w:tc>
          <w:tcPr>
            <w:tcW w:w="993" w:type="dxa"/>
            <w:tcBorders>
              <w:top w:val="nil"/>
              <w:left w:val="nil"/>
              <w:bottom w:val="nil"/>
              <w:right w:val="nil"/>
            </w:tcBorders>
            <w:shd w:val="clear" w:color="000000" w:fill="DCE6F1"/>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1-6/2017</w:t>
            </w:r>
          </w:p>
        </w:tc>
        <w:tc>
          <w:tcPr>
            <w:tcW w:w="992" w:type="dxa"/>
            <w:tcBorders>
              <w:top w:val="nil"/>
              <w:left w:val="nil"/>
              <w:bottom w:val="nil"/>
              <w:right w:val="nil"/>
            </w:tcBorders>
            <w:shd w:val="clear" w:color="auto" w:fill="B8CCE4" w:themeFill="accent1" w:themeFillTint="66"/>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1-6/2016</w:t>
            </w:r>
          </w:p>
        </w:tc>
        <w:tc>
          <w:tcPr>
            <w:tcW w:w="988" w:type="dxa"/>
            <w:tcBorders>
              <w:top w:val="nil"/>
              <w:left w:val="nil"/>
              <w:bottom w:val="nil"/>
              <w:right w:val="nil"/>
            </w:tcBorders>
            <w:shd w:val="clear" w:color="auto" w:fill="auto"/>
            <w:noWrap/>
            <w:vAlign w:val="center"/>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промяна</w:t>
            </w:r>
          </w:p>
        </w:tc>
      </w:tr>
      <w:tr w:rsidR="0005770E" w:rsidRPr="0005770E" w:rsidTr="00893A2E">
        <w:trPr>
          <w:trHeight w:val="320"/>
        </w:trPr>
        <w:tc>
          <w:tcPr>
            <w:tcW w:w="2835" w:type="dxa"/>
            <w:vMerge/>
            <w:tcBorders>
              <w:top w:val="nil"/>
              <w:left w:val="nil"/>
              <w:bottom w:val="nil"/>
              <w:right w:val="nil"/>
            </w:tcBorders>
            <w:vAlign w:val="center"/>
            <w:hideMark/>
          </w:tcPr>
          <w:p w:rsidR="0005770E" w:rsidRPr="0005770E" w:rsidRDefault="0005770E">
            <w:pPr>
              <w:spacing w:after="0" w:line="240" w:lineRule="auto"/>
              <w:rPr>
                <w:rFonts w:eastAsia="Times New Roman" w:cs="Arial"/>
                <w:b/>
                <w:bCs/>
                <w:sz w:val="20"/>
                <w:szCs w:val="20"/>
                <w:lang w:val="en-US" w:eastAsia="en-US"/>
              </w:rPr>
            </w:pP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b/>
                <w:bCs/>
                <w:i/>
                <w:iCs/>
                <w:sz w:val="20"/>
                <w:szCs w:val="20"/>
                <w:lang w:val="en-US" w:eastAsia="en-US"/>
              </w:rPr>
            </w:pPr>
            <w:r w:rsidRPr="0005770E">
              <w:rPr>
                <w:rFonts w:eastAsia="Times New Roman" w:cs="Arial"/>
                <w:b/>
                <w:bCs/>
                <w:i/>
                <w:iCs/>
                <w:sz w:val="20"/>
                <w:szCs w:val="20"/>
                <w:lang w:val="en-US" w:eastAsia="en-US"/>
              </w:rPr>
              <w:t>BGN '000</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b/>
                <w:bCs/>
                <w:i/>
                <w:iCs/>
                <w:sz w:val="20"/>
                <w:szCs w:val="20"/>
                <w:lang w:val="en-US" w:eastAsia="en-US"/>
              </w:rPr>
            </w:pPr>
            <w:r w:rsidRPr="0005770E">
              <w:rPr>
                <w:rFonts w:eastAsia="Times New Roman" w:cs="Arial"/>
                <w:b/>
                <w:bCs/>
                <w:i/>
                <w:iCs/>
                <w:sz w:val="20"/>
                <w:szCs w:val="20"/>
                <w:lang w:val="en-US" w:eastAsia="en-US"/>
              </w:rPr>
              <w:t>BGN '000</w:t>
            </w:r>
          </w:p>
        </w:tc>
        <w:tc>
          <w:tcPr>
            <w:tcW w:w="988" w:type="dxa"/>
            <w:tcBorders>
              <w:top w:val="nil"/>
              <w:left w:val="nil"/>
              <w:bottom w:val="nil"/>
              <w:right w:val="nil"/>
            </w:tcBorders>
            <w:shd w:val="clear" w:color="auto" w:fill="auto"/>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Таблети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64 041</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52 847</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21%</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Ампули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15 666</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14 218</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10%</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Унгвенти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5 108</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3 771</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35%</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Сиропи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3 360</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2 940</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14%</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Лиофилни продукти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2 813</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3 091</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-9%</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Инхалатори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1 395</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1 285</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9%</w:t>
            </w:r>
          </w:p>
        </w:tc>
      </w:tr>
      <w:tr w:rsidR="0005770E" w:rsidRPr="0005770E" w:rsidTr="00893A2E">
        <w:trPr>
          <w:trHeight w:val="320"/>
        </w:trPr>
        <w:tc>
          <w:tcPr>
            <w:tcW w:w="2835" w:type="dxa"/>
            <w:tcBorders>
              <w:top w:val="nil"/>
              <w:left w:val="nil"/>
              <w:bottom w:val="nil"/>
              <w:right w:val="nil"/>
            </w:tcBorders>
            <w:shd w:val="clear" w:color="auto" w:fill="auto"/>
            <w:noWrap/>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Други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924</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778</w:t>
            </w:r>
          </w:p>
        </w:tc>
        <w:tc>
          <w:tcPr>
            <w:tcW w:w="988"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19%</w:t>
            </w:r>
          </w:p>
        </w:tc>
      </w:tr>
      <w:tr w:rsidR="0005770E" w:rsidRPr="0005770E" w:rsidTr="00893A2E">
        <w:trPr>
          <w:trHeight w:val="320"/>
        </w:trPr>
        <w:tc>
          <w:tcPr>
            <w:tcW w:w="2835" w:type="dxa"/>
            <w:tcBorders>
              <w:top w:val="single" w:sz="4" w:space="0" w:color="auto"/>
              <w:left w:val="nil"/>
              <w:bottom w:val="double" w:sz="6" w:space="0" w:color="auto"/>
              <w:right w:val="nil"/>
            </w:tcBorders>
            <w:shd w:val="clear" w:color="000000" w:fill="FFFFFF"/>
            <w:noWrap/>
            <w:vAlign w:val="bottom"/>
            <w:hideMark/>
          </w:tcPr>
          <w:p w:rsidR="0005770E" w:rsidRPr="0005770E" w:rsidRDefault="0005770E">
            <w:pPr>
              <w:spacing w:after="0" w:line="240" w:lineRule="auto"/>
              <w:rPr>
                <w:rFonts w:eastAsia="Times New Roman" w:cs="Arial"/>
                <w:b/>
                <w:bCs/>
                <w:sz w:val="20"/>
                <w:szCs w:val="20"/>
                <w:lang w:val="en-US" w:eastAsia="en-US"/>
              </w:rPr>
            </w:pPr>
            <w:r w:rsidRPr="0005770E">
              <w:rPr>
                <w:rFonts w:eastAsia="Times New Roman" w:cs="Arial"/>
                <w:b/>
                <w:bCs/>
                <w:sz w:val="20"/>
                <w:szCs w:val="20"/>
                <w:lang w:val="en-US" w:eastAsia="en-US"/>
              </w:rPr>
              <w:t xml:space="preserve">Общо </w:t>
            </w:r>
          </w:p>
        </w:tc>
        <w:tc>
          <w:tcPr>
            <w:tcW w:w="993" w:type="dxa"/>
            <w:tcBorders>
              <w:top w:val="single" w:sz="4" w:space="0" w:color="auto"/>
              <w:left w:val="nil"/>
              <w:bottom w:val="double" w:sz="6" w:space="0" w:color="auto"/>
              <w:right w:val="nil"/>
            </w:tcBorders>
            <w:shd w:val="clear" w:color="000000" w:fill="DCE6F1"/>
            <w:noWrap/>
            <w:vAlign w:val="bottom"/>
            <w:hideMark/>
          </w:tcPr>
          <w:p w:rsidR="0005770E" w:rsidRPr="0005770E" w:rsidRDefault="0005770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93 307</w:t>
            </w:r>
          </w:p>
        </w:tc>
        <w:tc>
          <w:tcPr>
            <w:tcW w:w="992" w:type="dxa"/>
            <w:tcBorders>
              <w:top w:val="single" w:sz="4" w:space="0" w:color="auto"/>
              <w:left w:val="nil"/>
              <w:bottom w:val="double" w:sz="6" w:space="0" w:color="auto"/>
              <w:right w:val="nil"/>
            </w:tcBorders>
            <w:shd w:val="clear" w:color="000000" w:fill="C5D9F1"/>
            <w:noWrap/>
            <w:vAlign w:val="bottom"/>
            <w:hideMark/>
          </w:tcPr>
          <w:p w:rsidR="0005770E" w:rsidRPr="0005770E" w:rsidRDefault="0005770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78 930</w:t>
            </w:r>
          </w:p>
        </w:tc>
        <w:tc>
          <w:tcPr>
            <w:tcW w:w="988" w:type="dxa"/>
            <w:tcBorders>
              <w:top w:val="single" w:sz="4" w:space="0" w:color="auto"/>
              <w:left w:val="nil"/>
              <w:bottom w:val="double" w:sz="6" w:space="0" w:color="auto"/>
              <w:right w:val="nil"/>
            </w:tcBorders>
            <w:shd w:val="clear" w:color="000000" w:fill="FFFFFF"/>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18%</w:t>
            </w:r>
          </w:p>
        </w:tc>
      </w:tr>
    </w:tbl>
    <w:p w:rsidR="00F5515D" w:rsidRDefault="0005770E" w:rsidP="00F80195">
      <w:pPr>
        <w:suppressAutoHyphens/>
        <w:autoSpaceDN w:val="0"/>
        <w:spacing w:after="0" w:line="240" w:lineRule="auto"/>
        <w:jc w:val="both"/>
        <w:textAlignment w:val="baseline"/>
        <w:rPr>
          <w:rFonts w:eastAsia="Calibri" w:cs="Calibri"/>
          <w:color w:val="1F497D"/>
          <w:sz w:val="24"/>
          <w:szCs w:val="24"/>
        </w:rPr>
      </w:pPr>
      <w:r>
        <w:rPr>
          <w:noProof/>
        </w:rPr>
        <w:drawing>
          <wp:inline distT="0" distB="0" distL="0" distR="0" wp14:anchorId="53277D50" wp14:editId="2CFF41C7">
            <wp:extent cx="2247900" cy="20478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eastAsia="Calibri" w:cs="Calibri"/>
          <w:color w:val="1F497D"/>
          <w:sz w:val="24"/>
          <w:szCs w:val="24"/>
        </w:rPr>
        <w:br w:type="textWrapping" w:clear="all"/>
      </w:r>
    </w:p>
    <w:p w:rsidR="00F5515D" w:rsidRPr="00C26F9E" w:rsidRDefault="00F5515D" w:rsidP="00F80195">
      <w:pPr>
        <w:suppressAutoHyphens/>
        <w:autoSpaceDN w:val="0"/>
        <w:spacing w:after="0" w:line="240" w:lineRule="auto"/>
        <w:jc w:val="both"/>
        <w:textAlignment w:val="baseline"/>
        <w:rPr>
          <w:rFonts w:eastAsia="Calibri" w:cs="Calibri"/>
          <w:color w:val="1F497D"/>
          <w:sz w:val="24"/>
          <w:szCs w:val="24"/>
        </w:rPr>
      </w:pPr>
    </w:p>
    <w:p w:rsidR="0005770E" w:rsidRDefault="0005770E" w:rsidP="00F80195">
      <w:pPr>
        <w:suppressAutoHyphens/>
        <w:autoSpaceDN w:val="0"/>
        <w:spacing w:after="0" w:line="240" w:lineRule="auto"/>
        <w:jc w:val="both"/>
        <w:textAlignment w:val="baseline"/>
        <w:rPr>
          <w:rFonts w:eastAsia="Calibri" w:cs="Calibri"/>
          <w:i/>
          <w:color w:val="1F497D"/>
          <w:sz w:val="24"/>
          <w:szCs w:val="24"/>
        </w:rPr>
      </w:pPr>
    </w:p>
    <w:p w:rsidR="008B1BC1" w:rsidRDefault="008B1BC1" w:rsidP="00F80195">
      <w:pPr>
        <w:suppressAutoHyphens/>
        <w:autoSpaceDN w:val="0"/>
        <w:spacing w:after="0" w:line="240" w:lineRule="auto"/>
        <w:jc w:val="both"/>
        <w:textAlignment w:val="baseline"/>
        <w:rPr>
          <w:rFonts w:eastAsia="Calibri" w:cs="Calibri"/>
          <w:i/>
          <w:color w:val="1F497D"/>
          <w:sz w:val="24"/>
          <w:szCs w:val="24"/>
        </w:rPr>
      </w:pPr>
    </w:p>
    <w:p w:rsidR="008B1BC1" w:rsidRDefault="008B1BC1" w:rsidP="00F80195">
      <w:pPr>
        <w:suppressAutoHyphens/>
        <w:autoSpaceDN w:val="0"/>
        <w:spacing w:after="0" w:line="240" w:lineRule="auto"/>
        <w:jc w:val="both"/>
        <w:textAlignment w:val="baseline"/>
        <w:rPr>
          <w:rFonts w:eastAsia="Calibri" w:cs="Calibri"/>
          <w:i/>
          <w:color w:val="1F497D"/>
          <w:sz w:val="24"/>
          <w:szCs w:val="24"/>
        </w:rPr>
      </w:pPr>
    </w:p>
    <w:p w:rsidR="00BA2D97" w:rsidRDefault="00F80195" w:rsidP="00F80195">
      <w:pPr>
        <w:suppressAutoHyphens/>
        <w:autoSpaceDN w:val="0"/>
        <w:spacing w:after="0" w:line="240" w:lineRule="auto"/>
        <w:jc w:val="both"/>
        <w:textAlignment w:val="baseline"/>
        <w:rPr>
          <w:rFonts w:eastAsia="Calibri" w:cs="Calibri"/>
          <w:b/>
          <w:i/>
          <w:color w:val="1F497D"/>
          <w:sz w:val="24"/>
          <w:szCs w:val="24"/>
        </w:rPr>
      </w:pPr>
      <w:r w:rsidRPr="00CC5D38">
        <w:rPr>
          <w:rFonts w:eastAsia="Calibri" w:cs="Calibri"/>
          <w:i/>
          <w:color w:val="1F497D"/>
          <w:sz w:val="24"/>
          <w:szCs w:val="24"/>
        </w:rPr>
        <w:t>Продажби по терапевтични групи</w:t>
      </w:r>
    </w:p>
    <w:p w:rsidR="00F80195" w:rsidRDefault="00F80195" w:rsidP="00F80195">
      <w:pPr>
        <w:suppressAutoHyphens/>
        <w:autoSpaceDN w:val="0"/>
        <w:spacing w:after="0" w:line="240" w:lineRule="auto"/>
        <w:jc w:val="both"/>
        <w:textAlignment w:val="baseline"/>
        <w:rPr>
          <w:rFonts w:eastAsia="Calibri" w:cs="Calibri"/>
          <w:color w:val="1F497D"/>
          <w:sz w:val="24"/>
          <w:szCs w:val="24"/>
        </w:rPr>
      </w:pPr>
    </w:p>
    <w:p w:rsidR="0005770E" w:rsidRDefault="0005770E" w:rsidP="00F80195">
      <w:pPr>
        <w:suppressAutoHyphens/>
        <w:autoSpaceDN w:val="0"/>
        <w:spacing w:after="0" w:line="240" w:lineRule="auto"/>
        <w:jc w:val="both"/>
        <w:textAlignment w:val="baseline"/>
        <w:rPr>
          <w:rFonts w:eastAsia="Calibri" w:cs="Calibri"/>
          <w:color w:val="1F497D"/>
          <w:sz w:val="24"/>
          <w:szCs w:val="24"/>
        </w:rPr>
      </w:pPr>
    </w:p>
    <w:p w:rsidR="0005770E" w:rsidRDefault="0005770E" w:rsidP="00F80195">
      <w:pPr>
        <w:suppressAutoHyphens/>
        <w:autoSpaceDN w:val="0"/>
        <w:spacing w:after="0" w:line="240" w:lineRule="auto"/>
        <w:jc w:val="both"/>
        <w:textAlignment w:val="baseline"/>
        <w:rPr>
          <w:rFonts w:eastAsia="Calibri" w:cs="Calibri"/>
          <w:color w:val="1F497D"/>
          <w:sz w:val="24"/>
          <w:szCs w:val="24"/>
        </w:rPr>
      </w:pPr>
    </w:p>
    <w:tbl>
      <w:tblPr>
        <w:tblpPr w:leftFromText="180" w:rightFromText="180" w:vertAnchor="text" w:tblpY="1"/>
        <w:tblOverlap w:val="never"/>
        <w:tblW w:w="5652" w:type="dxa"/>
        <w:tblLook w:val="04A0" w:firstRow="1" w:lastRow="0" w:firstColumn="1" w:lastColumn="0" w:noHBand="0" w:noVBand="1"/>
      </w:tblPr>
      <w:tblGrid>
        <w:gridCol w:w="2835"/>
        <w:gridCol w:w="993"/>
        <w:gridCol w:w="992"/>
        <w:gridCol w:w="988"/>
      </w:tblGrid>
      <w:tr w:rsidR="0005770E" w:rsidRPr="0005770E" w:rsidTr="00893A2E">
        <w:trPr>
          <w:trHeight w:val="255"/>
        </w:trPr>
        <w:tc>
          <w:tcPr>
            <w:tcW w:w="2835" w:type="dxa"/>
            <w:vMerge w:val="restart"/>
            <w:tcBorders>
              <w:top w:val="nil"/>
              <w:left w:val="nil"/>
              <w:bottom w:val="nil"/>
              <w:right w:val="nil"/>
            </w:tcBorders>
            <w:shd w:val="clear" w:color="auto" w:fill="auto"/>
            <w:vAlign w:val="center"/>
            <w:hideMark/>
          </w:tcPr>
          <w:p w:rsidR="0005770E" w:rsidRPr="0005770E" w:rsidRDefault="0005770E">
            <w:pPr>
              <w:spacing w:after="0" w:line="240" w:lineRule="auto"/>
              <w:jc w:val="center"/>
              <w:rPr>
                <w:rFonts w:eastAsia="Times New Roman" w:cs="Arial"/>
                <w:b/>
                <w:bCs/>
                <w:sz w:val="20"/>
                <w:szCs w:val="20"/>
                <w:lang w:val="en-US" w:eastAsia="en-US"/>
              </w:rPr>
            </w:pPr>
            <w:r w:rsidRPr="0005770E">
              <w:rPr>
                <w:rFonts w:eastAsia="Times New Roman" w:cs="Arial"/>
                <w:b/>
                <w:bCs/>
                <w:sz w:val="20"/>
                <w:szCs w:val="20"/>
                <w:lang w:val="en-US" w:eastAsia="en-US"/>
              </w:rPr>
              <w:t>Приходи по терапевтични групи</w:t>
            </w:r>
          </w:p>
        </w:tc>
        <w:tc>
          <w:tcPr>
            <w:tcW w:w="993" w:type="dxa"/>
            <w:tcBorders>
              <w:top w:val="nil"/>
              <w:left w:val="nil"/>
              <w:bottom w:val="nil"/>
              <w:right w:val="nil"/>
            </w:tcBorders>
            <w:shd w:val="clear" w:color="000000" w:fill="DCE6F1"/>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1-6/2017</w:t>
            </w:r>
          </w:p>
        </w:tc>
        <w:tc>
          <w:tcPr>
            <w:tcW w:w="992" w:type="dxa"/>
            <w:tcBorders>
              <w:top w:val="nil"/>
              <w:left w:val="nil"/>
              <w:bottom w:val="nil"/>
              <w:right w:val="nil"/>
            </w:tcBorders>
            <w:shd w:val="clear" w:color="000000" w:fill="C5D9F1"/>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1-6/2016</w:t>
            </w:r>
          </w:p>
        </w:tc>
        <w:tc>
          <w:tcPr>
            <w:tcW w:w="832" w:type="dxa"/>
            <w:tcBorders>
              <w:top w:val="nil"/>
              <w:left w:val="nil"/>
              <w:bottom w:val="nil"/>
              <w:right w:val="nil"/>
            </w:tcBorders>
            <w:shd w:val="clear" w:color="auto" w:fill="auto"/>
            <w:noWrap/>
            <w:vAlign w:val="center"/>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промяна</w:t>
            </w:r>
          </w:p>
        </w:tc>
      </w:tr>
      <w:tr w:rsidR="0005770E" w:rsidRPr="0005770E" w:rsidTr="00893A2E">
        <w:trPr>
          <w:trHeight w:val="255"/>
        </w:trPr>
        <w:tc>
          <w:tcPr>
            <w:tcW w:w="2835" w:type="dxa"/>
            <w:vMerge/>
            <w:tcBorders>
              <w:top w:val="nil"/>
              <w:left w:val="nil"/>
              <w:bottom w:val="nil"/>
              <w:right w:val="nil"/>
            </w:tcBorders>
            <w:vAlign w:val="center"/>
            <w:hideMark/>
          </w:tcPr>
          <w:p w:rsidR="0005770E" w:rsidRPr="0005770E" w:rsidRDefault="0005770E">
            <w:pPr>
              <w:spacing w:after="0" w:line="240" w:lineRule="auto"/>
              <w:rPr>
                <w:rFonts w:eastAsia="Times New Roman" w:cs="Arial"/>
                <w:b/>
                <w:bCs/>
                <w:sz w:val="20"/>
                <w:szCs w:val="20"/>
                <w:lang w:val="en-US" w:eastAsia="en-US"/>
              </w:rPr>
            </w:pP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b/>
                <w:bCs/>
                <w:i/>
                <w:iCs/>
                <w:sz w:val="20"/>
                <w:szCs w:val="20"/>
                <w:lang w:val="en-US" w:eastAsia="en-US"/>
              </w:rPr>
            </w:pPr>
            <w:r w:rsidRPr="0005770E">
              <w:rPr>
                <w:rFonts w:eastAsia="Times New Roman" w:cs="Arial"/>
                <w:b/>
                <w:bCs/>
                <w:i/>
                <w:iCs/>
                <w:sz w:val="20"/>
                <w:szCs w:val="20"/>
                <w:lang w:val="en-US" w:eastAsia="en-US"/>
              </w:rPr>
              <w:t>BGN '000</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b/>
                <w:bCs/>
                <w:i/>
                <w:iCs/>
                <w:sz w:val="20"/>
                <w:szCs w:val="20"/>
                <w:lang w:val="en-US" w:eastAsia="en-US"/>
              </w:rPr>
            </w:pPr>
            <w:r w:rsidRPr="0005770E">
              <w:rPr>
                <w:rFonts w:eastAsia="Times New Roman" w:cs="Arial"/>
                <w:b/>
                <w:bCs/>
                <w:i/>
                <w:iCs/>
                <w:sz w:val="20"/>
                <w:szCs w:val="20"/>
                <w:lang w:val="en-US" w:eastAsia="en-US"/>
              </w:rPr>
              <w:t>BGN '000</w:t>
            </w:r>
          </w:p>
        </w:tc>
        <w:tc>
          <w:tcPr>
            <w:tcW w:w="832" w:type="dxa"/>
            <w:tcBorders>
              <w:top w:val="nil"/>
              <w:left w:val="nil"/>
              <w:bottom w:val="nil"/>
              <w:right w:val="nil"/>
            </w:tcBorders>
            <w:shd w:val="clear" w:color="auto" w:fill="auto"/>
            <w:noWrap/>
            <w:vAlign w:val="bottom"/>
            <w:hideMark/>
          </w:tcPr>
          <w:p w:rsidR="0005770E" w:rsidRPr="0005770E" w:rsidRDefault="0005770E" w:rsidP="00893A2E">
            <w:pPr>
              <w:spacing w:after="0" w:line="240" w:lineRule="auto"/>
              <w:jc w:val="right"/>
              <w:rPr>
                <w:rFonts w:eastAsia="Times New Roman" w:cs="Arial"/>
                <w:b/>
                <w:bCs/>
                <w:sz w:val="20"/>
                <w:szCs w:val="20"/>
                <w:lang w:val="en-US" w:eastAsia="en-US"/>
              </w:rPr>
            </w:pPr>
            <w:r w:rsidRPr="0005770E">
              <w:rPr>
                <w:rFonts w:eastAsia="Times New Roman" w:cs="Arial"/>
                <w:b/>
                <w:bCs/>
                <w:sz w:val="20"/>
                <w:szCs w:val="20"/>
                <w:lang w:val="en-US" w:eastAsia="en-US"/>
              </w:rPr>
              <w:t>%</w:t>
            </w:r>
          </w:p>
        </w:tc>
      </w:tr>
      <w:tr w:rsidR="0005770E" w:rsidRPr="0005770E" w:rsidTr="00893A2E">
        <w:trPr>
          <w:trHeight w:val="360"/>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N Нервна система</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34 818</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27 166</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28%</w:t>
            </w:r>
          </w:p>
        </w:tc>
      </w:tr>
      <w:tr w:rsidR="0005770E" w:rsidRPr="0005770E" w:rsidTr="00893A2E">
        <w:trPr>
          <w:trHeight w:val="525"/>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A Храносмилателна система и метаболизъм</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26 440</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22 081</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20%</w:t>
            </w:r>
          </w:p>
        </w:tc>
      </w:tr>
      <w:tr w:rsidR="0005770E" w:rsidRPr="0005770E" w:rsidTr="00893A2E">
        <w:trPr>
          <w:trHeight w:val="300"/>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C Сърдечносъдова система</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12 025</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10 276</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17%</w:t>
            </w:r>
          </w:p>
        </w:tc>
      </w:tr>
      <w:tr w:rsidR="0005770E" w:rsidRPr="0005770E" w:rsidTr="00893A2E">
        <w:trPr>
          <w:trHeight w:val="300"/>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R Дихателна система</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6 957</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6 586</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6%</w:t>
            </w:r>
          </w:p>
        </w:tc>
      </w:tr>
      <w:tr w:rsidR="0005770E" w:rsidRPr="0005770E" w:rsidTr="00893A2E">
        <w:trPr>
          <w:trHeight w:val="720"/>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G Пикочополова система и полови хормони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2 779</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2 629</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6%</w:t>
            </w:r>
          </w:p>
        </w:tc>
      </w:tr>
      <w:tr w:rsidR="0005770E" w:rsidRPr="0005770E" w:rsidTr="00893A2E">
        <w:trPr>
          <w:trHeight w:val="765"/>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H Системни хормонални препарати с изкл. на полови хормони и инсулини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2 737</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2 958</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-7%</w:t>
            </w:r>
          </w:p>
        </w:tc>
      </w:tr>
      <w:tr w:rsidR="0005770E" w:rsidRPr="0005770E" w:rsidTr="00893A2E">
        <w:trPr>
          <w:trHeight w:val="315"/>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M Мускулно-скелетна система</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2 439</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1 716</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42%</w:t>
            </w:r>
          </w:p>
        </w:tc>
      </w:tr>
      <w:tr w:rsidR="0005770E" w:rsidRPr="0005770E" w:rsidTr="00893A2E">
        <w:trPr>
          <w:trHeight w:val="255"/>
        </w:trPr>
        <w:tc>
          <w:tcPr>
            <w:tcW w:w="2835" w:type="dxa"/>
            <w:tcBorders>
              <w:top w:val="nil"/>
              <w:left w:val="nil"/>
              <w:bottom w:val="nil"/>
              <w:right w:val="nil"/>
            </w:tcBorders>
            <w:shd w:val="clear" w:color="auto" w:fill="auto"/>
            <w:vAlign w:val="bottom"/>
            <w:hideMark/>
          </w:tcPr>
          <w:p w:rsidR="0005770E" w:rsidRPr="0005770E" w:rsidRDefault="0005770E">
            <w:pPr>
              <w:spacing w:after="0" w:line="240" w:lineRule="auto"/>
              <w:rPr>
                <w:rFonts w:eastAsia="Times New Roman" w:cs="Arial"/>
                <w:sz w:val="20"/>
                <w:szCs w:val="20"/>
                <w:lang w:val="en-US" w:eastAsia="en-US"/>
              </w:rPr>
            </w:pPr>
            <w:r w:rsidRPr="0005770E">
              <w:rPr>
                <w:rFonts w:eastAsia="Times New Roman" w:cs="Arial"/>
                <w:sz w:val="20"/>
                <w:szCs w:val="20"/>
                <w:lang w:val="en-US" w:eastAsia="en-US"/>
              </w:rPr>
              <w:t>Други</w:t>
            </w:r>
          </w:p>
        </w:tc>
        <w:tc>
          <w:tcPr>
            <w:tcW w:w="993" w:type="dxa"/>
            <w:tcBorders>
              <w:top w:val="nil"/>
              <w:left w:val="nil"/>
              <w:bottom w:val="nil"/>
              <w:right w:val="nil"/>
            </w:tcBorders>
            <w:shd w:val="clear" w:color="000000" w:fill="DCE6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5 112</w:t>
            </w:r>
          </w:p>
        </w:tc>
        <w:tc>
          <w:tcPr>
            <w:tcW w:w="992" w:type="dxa"/>
            <w:tcBorders>
              <w:top w:val="nil"/>
              <w:left w:val="nil"/>
              <w:bottom w:val="nil"/>
              <w:right w:val="nil"/>
            </w:tcBorders>
            <w:shd w:val="clear" w:color="000000" w:fill="C5D9F1"/>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5 519</w:t>
            </w:r>
          </w:p>
        </w:tc>
        <w:tc>
          <w:tcPr>
            <w:tcW w:w="832" w:type="dxa"/>
            <w:tcBorders>
              <w:top w:val="nil"/>
              <w:left w:val="nil"/>
              <w:bottom w:val="nil"/>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-7%</w:t>
            </w:r>
          </w:p>
        </w:tc>
      </w:tr>
      <w:tr w:rsidR="0005770E" w:rsidRPr="0005770E" w:rsidTr="00893A2E">
        <w:trPr>
          <w:trHeight w:val="270"/>
        </w:trPr>
        <w:tc>
          <w:tcPr>
            <w:tcW w:w="2835" w:type="dxa"/>
            <w:tcBorders>
              <w:top w:val="single" w:sz="4" w:space="0" w:color="auto"/>
              <w:left w:val="nil"/>
              <w:bottom w:val="double" w:sz="6" w:space="0" w:color="auto"/>
              <w:right w:val="nil"/>
            </w:tcBorders>
            <w:shd w:val="clear" w:color="auto" w:fill="auto"/>
            <w:noWrap/>
            <w:vAlign w:val="bottom"/>
            <w:hideMark/>
          </w:tcPr>
          <w:p w:rsidR="0005770E" w:rsidRPr="0005770E" w:rsidRDefault="0005770E">
            <w:pPr>
              <w:spacing w:after="0" w:line="240" w:lineRule="auto"/>
              <w:rPr>
                <w:rFonts w:eastAsia="Times New Roman" w:cs="Arial"/>
                <w:b/>
                <w:bCs/>
                <w:sz w:val="20"/>
                <w:szCs w:val="20"/>
                <w:lang w:val="en-US" w:eastAsia="en-US"/>
              </w:rPr>
            </w:pPr>
            <w:r w:rsidRPr="0005770E">
              <w:rPr>
                <w:rFonts w:eastAsia="Times New Roman" w:cs="Arial"/>
                <w:b/>
                <w:bCs/>
                <w:sz w:val="20"/>
                <w:szCs w:val="20"/>
                <w:lang w:val="en-US" w:eastAsia="en-US"/>
              </w:rPr>
              <w:t xml:space="preserve">Общо </w:t>
            </w:r>
          </w:p>
        </w:tc>
        <w:tc>
          <w:tcPr>
            <w:tcW w:w="993" w:type="dxa"/>
            <w:tcBorders>
              <w:top w:val="single" w:sz="4" w:space="0" w:color="auto"/>
              <w:left w:val="nil"/>
              <w:bottom w:val="double" w:sz="6" w:space="0" w:color="auto"/>
              <w:right w:val="nil"/>
            </w:tcBorders>
            <w:shd w:val="clear" w:color="000000" w:fill="DCE6F1"/>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93 307</w:t>
            </w:r>
          </w:p>
        </w:tc>
        <w:tc>
          <w:tcPr>
            <w:tcW w:w="992" w:type="dxa"/>
            <w:tcBorders>
              <w:top w:val="single" w:sz="4" w:space="0" w:color="auto"/>
              <w:left w:val="nil"/>
              <w:bottom w:val="double" w:sz="6" w:space="0" w:color="auto"/>
              <w:right w:val="nil"/>
            </w:tcBorders>
            <w:shd w:val="clear" w:color="000000" w:fill="C5D9F1"/>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78 930</w:t>
            </w:r>
          </w:p>
        </w:tc>
        <w:tc>
          <w:tcPr>
            <w:tcW w:w="832" w:type="dxa"/>
            <w:tcBorders>
              <w:top w:val="single" w:sz="4" w:space="0" w:color="auto"/>
              <w:left w:val="nil"/>
              <w:bottom w:val="double" w:sz="6" w:space="0" w:color="auto"/>
              <w:right w:val="nil"/>
            </w:tcBorders>
            <w:shd w:val="clear" w:color="auto" w:fill="auto"/>
            <w:noWrap/>
            <w:vAlign w:val="bottom"/>
            <w:hideMark/>
          </w:tcPr>
          <w:p w:rsidR="0005770E" w:rsidRPr="0005770E" w:rsidRDefault="0005770E">
            <w:pPr>
              <w:spacing w:after="0" w:line="240" w:lineRule="auto"/>
              <w:jc w:val="right"/>
              <w:rPr>
                <w:rFonts w:eastAsia="Times New Roman" w:cs="Arial"/>
                <w:sz w:val="20"/>
                <w:szCs w:val="20"/>
                <w:lang w:val="en-US" w:eastAsia="en-US"/>
              </w:rPr>
            </w:pPr>
            <w:r w:rsidRPr="0005770E">
              <w:rPr>
                <w:rFonts w:eastAsia="Times New Roman" w:cs="Arial"/>
                <w:sz w:val="20"/>
                <w:szCs w:val="20"/>
                <w:lang w:val="en-US" w:eastAsia="en-US"/>
              </w:rPr>
              <w:t>18%</w:t>
            </w:r>
          </w:p>
        </w:tc>
      </w:tr>
    </w:tbl>
    <w:p w:rsidR="0005770E" w:rsidRDefault="0005770E" w:rsidP="00F80195">
      <w:pPr>
        <w:suppressAutoHyphens/>
        <w:autoSpaceDN w:val="0"/>
        <w:spacing w:after="0" w:line="240" w:lineRule="auto"/>
        <w:jc w:val="both"/>
        <w:textAlignment w:val="baseline"/>
        <w:rPr>
          <w:rFonts w:eastAsia="Calibri" w:cs="Calibri"/>
          <w:color w:val="1F497D"/>
          <w:sz w:val="24"/>
          <w:szCs w:val="24"/>
        </w:rPr>
      </w:pPr>
      <w:r>
        <w:rPr>
          <w:noProof/>
        </w:rPr>
        <w:drawing>
          <wp:inline distT="0" distB="0" distL="0" distR="0" wp14:anchorId="16B701FB" wp14:editId="05D3B65B">
            <wp:extent cx="2505075" cy="2695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eastAsia="Calibri" w:cs="Calibri"/>
          <w:color w:val="1F497D"/>
          <w:sz w:val="24"/>
          <w:szCs w:val="24"/>
        </w:rPr>
        <w:br w:type="textWrapping" w:clear="all"/>
      </w:r>
    </w:p>
    <w:p w:rsidR="00F5515D" w:rsidRDefault="00F5515D" w:rsidP="00F80195">
      <w:pPr>
        <w:suppressAutoHyphens/>
        <w:autoSpaceDN w:val="0"/>
        <w:spacing w:after="0" w:line="240" w:lineRule="auto"/>
        <w:jc w:val="both"/>
        <w:textAlignment w:val="baseline"/>
        <w:rPr>
          <w:rFonts w:eastAsia="Calibri" w:cs="Calibri"/>
          <w:color w:val="1F497D"/>
          <w:sz w:val="24"/>
          <w:szCs w:val="24"/>
        </w:rPr>
      </w:pPr>
    </w:p>
    <w:p w:rsidR="00F80195" w:rsidRDefault="00F80195" w:rsidP="00F80195">
      <w:pPr>
        <w:suppressAutoHyphens/>
        <w:autoSpaceDN w:val="0"/>
        <w:spacing w:before="40" w:after="40" w:line="240" w:lineRule="auto"/>
        <w:jc w:val="both"/>
        <w:textAlignment w:val="baseline"/>
        <w:rPr>
          <w:rFonts w:eastAsia="Calibri" w:cs="Calibri"/>
          <w:i/>
          <w:sz w:val="24"/>
          <w:szCs w:val="24"/>
        </w:rPr>
      </w:pPr>
      <w:r w:rsidRPr="00CC5D38">
        <w:rPr>
          <w:rFonts w:eastAsia="Calibri" w:cs="Calibri"/>
          <w:i/>
          <w:color w:val="1F497D"/>
          <w:sz w:val="24"/>
          <w:szCs w:val="24"/>
        </w:rPr>
        <w:t>Други доходи от дейността</w:t>
      </w:r>
      <w:r w:rsidRPr="00CC5D38">
        <w:rPr>
          <w:rFonts w:eastAsia="Calibri" w:cs="Calibri"/>
          <w:i/>
          <w:sz w:val="24"/>
          <w:szCs w:val="24"/>
        </w:rPr>
        <w:t xml:space="preserve"> </w:t>
      </w:r>
    </w:p>
    <w:p w:rsidR="00C6357D" w:rsidRDefault="00C6357D" w:rsidP="00F80195">
      <w:pPr>
        <w:suppressAutoHyphens/>
        <w:autoSpaceDN w:val="0"/>
        <w:spacing w:before="40" w:after="40" w:line="240" w:lineRule="auto"/>
        <w:jc w:val="both"/>
        <w:textAlignment w:val="baseline"/>
        <w:rPr>
          <w:rFonts w:eastAsia="Calibri" w:cs="Calibri"/>
          <w:sz w:val="24"/>
          <w:szCs w:val="24"/>
        </w:rPr>
      </w:pPr>
    </w:p>
    <w:tbl>
      <w:tblPr>
        <w:tblW w:w="9380" w:type="dxa"/>
        <w:tblInd w:w="70" w:type="dxa"/>
        <w:tblCellMar>
          <w:left w:w="70" w:type="dxa"/>
          <w:right w:w="70" w:type="dxa"/>
        </w:tblCellMar>
        <w:tblLook w:val="04A0" w:firstRow="1" w:lastRow="0" w:firstColumn="1" w:lastColumn="0" w:noHBand="0" w:noVBand="1"/>
      </w:tblPr>
      <w:tblGrid>
        <w:gridCol w:w="4820"/>
        <w:gridCol w:w="1134"/>
        <w:gridCol w:w="1100"/>
        <w:gridCol w:w="1212"/>
        <w:gridCol w:w="1114"/>
      </w:tblGrid>
      <w:tr w:rsidR="00C6357D" w:rsidRPr="00C6357D" w:rsidTr="00893A2E">
        <w:trPr>
          <w:trHeight w:val="486"/>
        </w:trPr>
        <w:tc>
          <w:tcPr>
            <w:tcW w:w="4820" w:type="dxa"/>
            <w:vMerge w:val="restart"/>
            <w:tcBorders>
              <w:top w:val="nil"/>
              <w:left w:val="nil"/>
              <w:bottom w:val="nil"/>
              <w:right w:val="nil"/>
            </w:tcBorders>
            <w:shd w:val="clear" w:color="auto" w:fill="auto"/>
            <w:vAlign w:val="center"/>
            <w:hideMark/>
          </w:tcPr>
          <w:p w:rsidR="00C6357D" w:rsidRPr="00C6357D" w:rsidRDefault="00C6357D" w:rsidP="00C6357D">
            <w:pPr>
              <w:spacing w:after="0" w:line="240" w:lineRule="auto"/>
              <w:jc w:val="center"/>
              <w:rPr>
                <w:rFonts w:eastAsia="Times New Roman" w:cs="Arial"/>
                <w:b/>
                <w:bCs/>
                <w:sz w:val="20"/>
                <w:szCs w:val="20"/>
              </w:rPr>
            </w:pPr>
            <w:r w:rsidRPr="00C6357D">
              <w:rPr>
                <w:rFonts w:eastAsia="Times New Roman" w:cs="Arial"/>
                <w:b/>
                <w:bCs/>
                <w:sz w:val="20"/>
                <w:szCs w:val="20"/>
              </w:rPr>
              <w:t>Други доходи от дейността</w:t>
            </w:r>
          </w:p>
        </w:tc>
        <w:tc>
          <w:tcPr>
            <w:tcW w:w="1134" w:type="dxa"/>
            <w:tcBorders>
              <w:top w:val="nil"/>
              <w:left w:val="nil"/>
              <w:bottom w:val="nil"/>
              <w:right w:val="nil"/>
            </w:tcBorders>
            <w:shd w:val="clear" w:color="000000" w:fill="DCE6F1"/>
            <w:noWrap/>
            <w:vAlign w:val="bottom"/>
            <w:hideMark/>
          </w:tcPr>
          <w:p w:rsidR="00C6357D" w:rsidRPr="00C6357D" w:rsidRDefault="00C6357D" w:rsidP="00893A2E">
            <w:pPr>
              <w:spacing w:after="0" w:line="240" w:lineRule="auto"/>
              <w:jc w:val="right"/>
              <w:rPr>
                <w:rFonts w:eastAsia="Times New Roman" w:cs="Arial"/>
                <w:b/>
                <w:bCs/>
                <w:sz w:val="20"/>
                <w:szCs w:val="20"/>
              </w:rPr>
            </w:pPr>
            <w:r w:rsidRPr="00C6357D">
              <w:rPr>
                <w:rFonts w:eastAsia="Times New Roman" w:cs="Arial"/>
                <w:b/>
                <w:bCs/>
                <w:sz w:val="20"/>
                <w:szCs w:val="20"/>
              </w:rPr>
              <w:t>1-6/2017</w:t>
            </w:r>
          </w:p>
        </w:tc>
        <w:tc>
          <w:tcPr>
            <w:tcW w:w="1100" w:type="dxa"/>
            <w:tcBorders>
              <w:top w:val="nil"/>
              <w:left w:val="nil"/>
              <w:bottom w:val="nil"/>
              <w:right w:val="nil"/>
            </w:tcBorders>
            <w:shd w:val="clear" w:color="000000" w:fill="C5D9F1"/>
            <w:noWrap/>
            <w:vAlign w:val="bottom"/>
            <w:hideMark/>
          </w:tcPr>
          <w:p w:rsidR="00C6357D" w:rsidRPr="00C6357D" w:rsidRDefault="00C6357D" w:rsidP="00893A2E">
            <w:pPr>
              <w:spacing w:after="0" w:line="240" w:lineRule="auto"/>
              <w:jc w:val="right"/>
              <w:rPr>
                <w:rFonts w:eastAsia="Times New Roman" w:cs="Arial"/>
                <w:b/>
                <w:bCs/>
                <w:sz w:val="20"/>
                <w:szCs w:val="20"/>
              </w:rPr>
            </w:pPr>
            <w:r w:rsidRPr="00C6357D">
              <w:rPr>
                <w:rFonts w:eastAsia="Times New Roman" w:cs="Arial"/>
                <w:b/>
                <w:bCs/>
                <w:sz w:val="20"/>
                <w:szCs w:val="20"/>
              </w:rPr>
              <w:t>1-6/2016</w:t>
            </w:r>
          </w:p>
        </w:tc>
        <w:tc>
          <w:tcPr>
            <w:tcW w:w="1212" w:type="dxa"/>
            <w:tcBorders>
              <w:top w:val="nil"/>
              <w:left w:val="nil"/>
              <w:bottom w:val="nil"/>
              <w:right w:val="nil"/>
            </w:tcBorders>
            <w:shd w:val="clear" w:color="auto" w:fill="auto"/>
            <w:noWrap/>
            <w:vAlign w:val="center"/>
            <w:hideMark/>
          </w:tcPr>
          <w:p w:rsidR="00C6357D" w:rsidRPr="00C6357D" w:rsidRDefault="00C6357D" w:rsidP="00893A2E">
            <w:pPr>
              <w:spacing w:after="0" w:line="240" w:lineRule="auto"/>
              <w:jc w:val="right"/>
              <w:rPr>
                <w:rFonts w:eastAsia="Times New Roman" w:cs="Arial"/>
                <w:b/>
                <w:bCs/>
                <w:sz w:val="20"/>
                <w:szCs w:val="20"/>
              </w:rPr>
            </w:pPr>
            <w:r w:rsidRPr="00C6357D">
              <w:rPr>
                <w:rFonts w:eastAsia="Times New Roman" w:cs="Arial"/>
                <w:b/>
                <w:bCs/>
                <w:sz w:val="20"/>
                <w:szCs w:val="20"/>
              </w:rPr>
              <w:t>промяна</w:t>
            </w:r>
          </w:p>
        </w:tc>
        <w:tc>
          <w:tcPr>
            <w:tcW w:w="1114" w:type="dxa"/>
            <w:tcBorders>
              <w:top w:val="nil"/>
              <w:left w:val="nil"/>
              <w:bottom w:val="nil"/>
              <w:right w:val="nil"/>
            </w:tcBorders>
            <w:shd w:val="clear" w:color="auto" w:fill="auto"/>
            <w:vAlign w:val="center"/>
            <w:hideMark/>
          </w:tcPr>
          <w:p w:rsidR="00C6357D" w:rsidRPr="00C6357D" w:rsidRDefault="00C6357D" w:rsidP="00893A2E">
            <w:pPr>
              <w:spacing w:after="0" w:line="240" w:lineRule="auto"/>
              <w:jc w:val="right"/>
              <w:rPr>
                <w:rFonts w:eastAsia="Times New Roman" w:cs="Arial"/>
                <w:b/>
                <w:bCs/>
                <w:sz w:val="20"/>
                <w:szCs w:val="20"/>
              </w:rPr>
            </w:pPr>
            <w:r w:rsidRPr="00C6357D">
              <w:rPr>
                <w:rFonts w:eastAsia="Times New Roman" w:cs="Arial"/>
                <w:b/>
                <w:bCs/>
                <w:sz w:val="20"/>
                <w:szCs w:val="20"/>
              </w:rPr>
              <w:t>отн.</w:t>
            </w:r>
            <w:r w:rsidR="00E07F0D">
              <w:rPr>
                <w:rFonts w:eastAsia="Times New Roman" w:cs="Arial"/>
                <w:b/>
                <w:bCs/>
                <w:sz w:val="20"/>
                <w:szCs w:val="20"/>
              </w:rPr>
              <w:t xml:space="preserve"> </w:t>
            </w:r>
            <w:r w:rsidRPr="00C6357D">
              <w:rPr>
                <w:rFonts w:eastAsia="Times New Roman" w:cs="Arial"/>
                <w:b/>
                <w:bCs/>
                <w:sz w:val="20"/>
                <w:szCs w:val="20"/>
              </w:rPr>
              <w:t>дял 2017</w:t>
            </w:r>
          </w:p>
        </w:tc>
      </w:tr>
      <w:tr w:rsidR="00C6357D" w:rsidRPr="00C6357D" w:rsidTr="00893A2E">
        <w:trPr>
          <w:trHeight w:val="273"/>
        </w:trPr>
        <w:tc>
          <w:tcPr>
            <w:tcW w:w="4820" w:type="dxa"/>
            <w:vMerge/>
            <w:tcBorders>
              <w:top w:val="nil"/>
              <w:left w:val="nil"/>
              <w:bottom w:val="nil"/>
              <w:right w:val="nil"/>
            </w:tcBorders>
            <w:vAlign w:val="center"/>
            <w:hideMark/>
          </w:tcPr>
          <w:p w:rsidR="00C6357D" w:rsidRPr="00C6357D" w:rsidRDefault="00C6357D" w:rsidP="00C6357D">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bottom"/>
            <w:hideMark/>
          </w:tcPr>
          <w:p w:rsidR="00C6357D" w:rsidRPr="00C6357D" w:rsidRDefault="00C6357D" w:rsidP="008659B5">
            <w:pPr>
              <w:spacing w:after="0" w:line="240" w:lineRule="auto"/>
              <w:jc w:val="right"/>
              <w:rPr>
                <w:rFonts w:eastAsia="Times New Roman" w:cs="Arial"/>
                <w:b/>
                <w:bCs/>
                <w:i/>
                <w:iCs/>
                <w:sz w:val="20"/>
                <w:szCs w:val="20"/>
              </w:rPr>
            </w:pPr>
            <w:r w:rsidRPr="00C6357D">
              <w:rPr>
                <w:rFonts w:eastAsia="Times New Roman" w:cs="Arial"/>
                <w:b/>
                <w:bCs/>
                <w:i/>
                <w:iCs/>
                <w:sz w:val="20"/>
                <w:szCs w:val="20"/>
              </w:rPr>
              <w:t>BGN '000</w:t>
            </w:r>
          </w:p>
        </w:tc>
        <w:tc>
          <w:tcPr>
            <w:tcW w:w="1100" w:type="dxa"/>
            <w:tcBorders>
              <w:top w:val="nil"/>
              <w:left w:val="nil"/>
              <w:bottom w:val="nil"/>
              <w:right w:val="nil"/>
            </w:tcBorders>
            <w:shd w:val="clear" w:color="000000" w:fill="C5D9F1"/>
            <w:noWrap/>
            <w:vAlign w:val="bottom"/>
            <w:hideMark/>
          </w:tcPr>
          <w:p w:rsidR="00C6357D" w:rsidRPr="00C6357D" w:rsidRDefault="00C6357D">
            <w:pPr>
              <w:spacing w:after="0" w:line="240" w:lineRule="auto"/>
              <w:jc w:val="right"/>
              <w:rPr>
                <w:rFonts w:eastAsia="Times New Roman" w:cs="Arial"/>
                <w:b/>
                <w:bCs/>
                <w:i/>
                <w:iCs/>
                <w:sz w:val="20"/>
                <w:szCs w:val="20"/>
              </w:rPr>
            </w:pPr>
            <w:r w:rsidRPr="00C6357D">
              <w:rPr>
                <w:rFonts w:eastAsia="Times New Roman" w:cs="Arial"/>
                <w:b/>
                <w:bCs/>
                <w:i/>
                <w:iCs/>
                <w:sz w:val="20"/>
                <w:szCs w:val="20"/>
              </w:rPr>
              <w:t>BGN '000</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b/>
                <w:bCs/>
                <w:sz w:val="20"/>
                <w:szCs w:val="20"/>
              </w:rPr>
            </w:pPr>
            <w:r w:rsidRPr="00C6357D">
              <w:rPr>
                <w:rFonts w:eastAsia="Times New Roman" w:cs="Arial"/>
                <w:b/>
                <w:bCs/>
                <w:sz w:val="20"/>
                <w:szCs w:val="20"/>
              </w:rPr>
              <w:t>%</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b/>
                <w:bCs/>
                <w:sz w:val="20"/>
                <w:szCs w:val="20"/>
              </w:rPr>
            </w:pPr>
            <w:r w:rsidRPr="00C6357D">
              <w:rPr>
                <w:rFonts w:eastAsia="Times New Roman" w:cs="Arial"/>
                <w:b/>
                <w:bCs/>
                <w:sz w:val="20"/>
                <w:szCs w:val="20"/>
              </w:rPr>
              <w:t>%</w:t>
            </w:r>
          </w:p>
        </w:tc>
      </w:tr>
      <w:tr w:rsidR="00C6357D" w:rsidRPr="00C6357D" w:rsidTr="00893A2E">
        <w:trPr>
          <w:trHeight w:val="304"/>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Приходи от предоставяне на услуги</w:t>
            </w:r>
          </w:p>
        </w:tc>
        <w:tc>
          <w:tcPr>
            <w:tcW w:w="1134" w:type="dxa"/>
            <w:tcBorders>
              <w:top w:val="nil"/>
              <w:left w:val="nil"/>
              <w:bottom w:val="nil"/>
              <w:right w:val="nil"/>
            </w:tcBorders>
            <w:shd w:val="clear" w:color="000000" w:fill="DCE6F1"/>
            <w:noWrap/>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1 715</w:t>
            </w:r>
          </w:p>
        </w:tc>
        <w:tc>
          <w:tcPr>
            <w:tcW w:w="1100" w:type="dxa"/>
            <w:tcBorders>
              <w:top w:val="nil"/>
              <w:left w:val="nil"/>
              <w:bottom w:val="nil"/>
              <w:right w:val="nil"/>
            </w:tcBorders>
            <w:shd w:val="clear" w:color="000000" w:fill="C5D9F1"/>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1 738</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77%</w:t>
            </w:r>
          </w:p>
        </w:tc>
      </w:tr>
      <w:tr w:rsidR="00C6357D" w:rsidRPr="00C6357D" w:rsidTr="00893A2E">
        <w:trPr>
          <w:trHeight w:val="304"/>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Приходи от финансирания по европейски проекти</w:t>
            </w:r>
          </w:p>
        </w:tc>
        <w:tc>
          <w:tcPr>
            <w:tcW w:w="1134" w:type="dxa"/>
            <w:tcBorders>
              <w:top w:val="nil"/>
              <w:left w:val="nil"/>
              <w:bottom w:val="nil"/>
              <w:right w:val="nil"/>
            </w:tcBorders>
            <w:shd w:val="clear" w:color="000000" w:fill="DCE6F1"/>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250</w:t>
            </w:r>
          </w:p>
        </w:tc>
        <w:tc>
          <w:tcPr>
            <w:tcW w:w="1100" w:type="dxa"/>
            <w:tcBorders>
              <w:top w:val="nil"/>
              <w:left w:val="nil"/>
              <w:bottom w:val="nil"/>
              <w:right w:val="nil"/>
            </w:tcBorders>
            <w:shd w:val="clear" w:color="000000" w:fill="C5D9F1"/>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253</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11%</w:t>
            </w:r>
          </w:p>
        </w:tc>
      </w:tr>
      <w:tr w:rsidR="00C6357D" w:rsidRPr="00C6357D" w:rsidTr="00893A2E">
        <w:trPr>
          <w:trHeight w:val="304"/>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Печалба от продажба на стоки</w:t>
            </w:r>
          </w:p>
        </w:tc>
        <w:tc>
          <w:tcPr>
            <w:tcW w:w="1134" w:type="dxa"/>
            <w:tcBorders>
              <w:top w:val="nil"/>
              <w:left w:val="nil"/>
              <w:bottom w:val="nil"/>
              <w:right w:val="nil"/>
            </w:tcBorders>
            <w:shd w:val="clear" w:color="000000" w:fill="DCE6F1"/>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164</w:t>
            </w:r>
          </w:p>
        </w:tc>
        <w:tc>
          <w:tcPr>
            <w:tcW w:w="1100" w:type="dxa"/>
            <w:tcBorders>
              <w:top w:val="nil"/>
              <w:left w:val="nil"/>
              <w:bottom w:val="nil"/>
              <w:right w:val="nil"/>
            </w:tcBorders>
            <w:shd w:val="clear" w:color="000000" w:fill="C5D9F1"/>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143</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15%</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7%</w:t>
            </w:r>
          </w:p>
        </w:tc>
      </w:tr>
      <w:tr w:rsidR="00C6357D" w:rsidRPr="00C6357D" w:rsidTr="00893A2E">
        <w:trPr>
          <w:trHeight w:val="304"/>
        </w:trPr>
        <w:tc>
          <w:tcPr>
            <w:tcW w:w="4820" w:type="dxa"/>
            <w:tcBorders>
              <w:top w:val="nil"/>
              <w:left w:val="nil"/>
              <w:bottom w:val="nil"/>
              <w:right w:val="nil"/>
            </w:tcBorders>
            <w:shd w:val="clear" w:color="auto" w:fill="auto"/>
            <w:noWrap/>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Печалба от продажба на дълготрайни активи</w:t>
            </w:r>
          </w:p>
        </w:tc>
        <w:tc>
          <w:tcPr>
            <w:tcW w:w="1134" w:type="dxa"/>
            <w:tcBorders>
              <w:top w:val="nil"/>
              <w:left w:val="nil"/>
              <w:bottom w:val="nil"/>
              <w:right w:val="nil"/>
            </w:tcBorders>
            <w:shd w:val="clear" w:color="000000" w:fill="DCE6F1"/>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 xml:space="preserve">2 </w:t>
            </w:r>
          </w:p>
        </w:tc>
        <w:tc>
          <w:tcPr>
            <w:tcW w:w="1100" w:type="dxa"/>
            <w:tcBorders>
              <w:top w:val="nil"/>
              <w:left w:val="nil"/>
              <w:bottom w:val="nil"/>
              <w:right w:val="nil"/>
            </w:tcBorders>
            <w:shd w:val="clear" w:color="000000" w:fill="C5D9F1"/>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 xml:space="preserve">2 </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0%</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0%</w:t>
            </w:r>
          </w:p>
        </w:tc>
      </w:tr>
      <w:tr w:rsidR="00C6357D" w:rsidRPr="00C6357D" w:rsidTr="00893A2E">
        <w:trPr>
          <w:trHeight w:val="304"/>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Печалба от продажба на материали</w:t>
            </w:r>
          </w:p>
        </w:tc>
        <w:tc>
          <w:tcPr>
            <w:tcW w:w="1134" w:type="dxa"/>
            <w:tcBorders>
              <w:top w:val="nil"/>
              <w:left w:val="nil"/>
              <w:bottom w:val="nil"/>
              <w:right w:val="nil"/>
            </w:tcBorders>
            <w:shd w:val="clear" w:color="000000" w:fill="DCE6F1"/>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86</w:t>
            </w:r>
          </w:p>
        </w:tc>
        <w:tc>
          <w:tcPr>
            <w:tcW w:w="1100" w:type="dxa"/>
            <w:tcBorders>
              <w:top w:val="nil"/>
              <w:left w:val="nil"/>
              <w:bottom w:val="nil"/>
              <w:right w:val="nil"/>
            </w:tcBorders>
            <w:shd w:val="clear" w:color="000000" w:fill="C5D9F1"/>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42</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105%</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4%</w:t>
            </w:r>
          </w:p>
        </w:tc>
      </w:tr>
      <w:tr w:rsidR="00C6357D" w:rsidRPr="00C6357D" w:rsidTr="00893A2E">
        <w:trPr>
          <w:trHeight w:val="820"/>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Нетни загуби от курсови разлики по търговски вземания и задължения и текущи разплащателни сметки</w:t>
            </w:r>
          </w:p>
        </w:tc>
        <w:tc>
          <w:tcPr>
            <w:tcW w:w="1134" w:type="dxa"/>
            <w:tcBorders>
              <w:top w:val="nil"/>
              <w:left w:val="nil"/>
              <w:bottom w:val="nil"/>
              <w:right w:val="nil"/>
            </w:tcBorders>
            <w:shd w:val="clear" w:color="000000" w:fill="DCE6F1"/>
            <w:noWrap/>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(117)</w:t>
            </w:r>
          </w:p>
        </w:tc>
        <w:tc>
          <w:tcPr>
            <w:tcW w:w="1100" w:type="dxa"/>
            <w:tcBorders>
              <w:top w:val="nil"/>
              <w:left w:val="nil"/>
              <w:bottom w:val="nil"/>
              <w:right w:val="nil"/>
            </w:tcBorders>
            <w:shd w:val="clear" w:color="000000" w:fill="C5D9F1"/>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(163)</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-28%</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-5%</w:t>
            </w:r>
          </w:p>
        </w:tc>
      </w:tr>
      <w:tr w:rsidR="00C6357D" w:rsidRPr="00C6357D" w:rsidTr="00893A2E">
        <w:trPr>
          <w:trHeight w:val="304"/>
        </w:trPr>
        <w:tc>
          <w:tcPr>
            <w:tcW w:w="4820" w:type="dxa"/>
            <w:tcBorders>
              <w:top w:val="nil"/>
              <w:left w:val="nil"/>
              <w:bottom w:val="nil"/>
              <w:right w:val="nil"/>
            </w:tcBorders>
            <w:shd w:val="clear" w:color="auto" w:fill="auto"/>
            <w:vAlign w:val="bottom"/>
            <w:hideMark/>
          </w:tcPr>
          <w:p w:rsidR="00C6357D" w:rsidRPr="00C6357D" w:rsidRDefault="00C6357D" w:rsidP="00C6357D">
            <w:pPr>
              <w:spacing w:after="0" w:line="240" w:lineRule="auto"/>
              <w:rPr>
                <w:rFonts w:eastAsia="Times New Roman" w:cs="Arial"/>
                <w:sz w:val="20"/>
                <w:szCs w:val="20"/>
              </w:rPr>
            </w:pPr>
            <w:r w:rsidRPr="00C6357D">
              <w:rPr>
                <w:rFonts w:eastAsia="Times New Roman" w:cs="Arial"/>
                <w:sz w:val="20"/>
                <w:szCs w:val="20"/>
              </w:rPr>
              <w:t>Други (виж бел.към ФО)</w:t>
            </w:r>
          </w:p>
        </w:tc>
        <w:tc>
          <w:tcPr>
            <w:tcW w:w="1134" w:type="dxa"/>
            <w:tcBorders>
              <w:top w:val="nil"/>
              <w:left w:val="nil"/>
              <w:bottom w:val="single" w:sz="4" w:space="0" w:color="auto"/>
              <w:right w:val="nil"/>
            </w:tcBorders>
            <w:shd w:val="clear" w:color="000000" w:fill="DCE6F1"/>
            <w:noWrap/>
            <w:vAlign w:val="bottom"/>
            <w:hideMark/>
          </w:tcPr>
          <w:p w:rsidR="00C6357D" w:rsidRPr="00C6357D" w:rsidRDefault="00C6357D" w:rsidP="008659B5">
            <w:pPr>
              <w:spacing w:after="0" w:line="240" w:lineRule="auto"/>
              <w:jc w:val="right"/>
              <w:rPr>
                <w:rFonts w:eastAsia="Times New Roman" w:cs="Arial"/>
                <w:sz w:val="20"/>
                <w:szCs w:val="20"/>
              </w:rPr>
            </w:pPr>
            <w:r w:rsidRPr="00C6357D">
              <w:rPr>
                <w:rFonts w:eastAsia="Times New Roman" w:cs="Arial"/>
                <w:sz w:val="20"/>
                <w:szCs w:val="20"/>
              </w:rPr>
              <w:t>127</w:t>
            </w:r>
          </w:p>
        </w:tc>
        <w:tc>
          <w:tcPr>
            <w:tcW w:w="1100" w:type="dxa"/>
            <w:tcBorders>
              <w:top w:val="nil"/>
              <w:left w:val="nil"/>
              <w:bottom w:val="single" w:sz="4" w:space="0" w:color="auto"/>
              <w:right w:val="nil"/>
            </w:tcBorders>
            <w:shd w:val="clear" w:color="000000" w:fill="C5D9F1"/>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94</w:t>
            </w:r>
          </w:p>
        </w:tc>
        <w:tc>
          <w:tcPr>
            <w:tcW w:w="1212"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35%</w:t>
            </w:r>
          </w:p>
        </w:tc>
        <w:tc>
          <w:tcPr>
            <w:tcW w:w="1114" w:type="dxa"/>
            <w:tcBorders>
              <w:top w:val="nil"/>
              <w:left w:val="nil"/>
              <w:bottom w:val="nil"/>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6%</w:t>
            </w:r>
          </w:p>
        </w:tc>
      </w:tr>
      <w:tr w:rsidR="00C6357D" w:rsidRPr="00C6357D" w:rsidTr="00893A2E">
        <w:trPr>
          <w:trHeight w:val="304"/>
        </w:trPr>
        <w:tc>
          <w:tcPr>
            <w:tcW w:w="4820" w:type="dxa"/>
            <w:tcBorders>
              <w:top w:val="single" w:sz="4" w:space="0" w:color="auto"/>
              <w:left w:val="nil"/>
              <w:bottom w:val="double" w:sz="6" w:space="0" w:color="auto"/>
              <w:right w:val="nil"/>
            </w:tcBorders>
            <w:shd w:val="clear" w:color="auto" w:fill="auto"/>
            <w:noWrap/>
            <w:vAlign w:val="bottom"/>
            <w:hideMark/>
          </w:tcPr>
          <w:p w:rsidR="00C6357D" w:rsidRPr="00C6357D" w:rsidRDefault="00C6357D" w:rsidP="00C6357D">
            <w:pPr>
              <w:spacing w:after="0" w:line="240" w:lineRule="auto"/>
              <w:rPr>
                <w:rFonts w:eastAsia="Times New Roman" w:cs="Arial"/>
                <w:b/>
                <w:bCs/>
                <w:sz w:val="20"/>
                <w:szCs w:val="20"/>
              </w:rPr>
            </w:pPr>
            <w:r w:rsidRPr="00C6357D">
              <w:rPr>
                <w:rFonts w:eastAsia="Times New Roman" w:cs="Arial"/>
                <w:b/>
                <w:bCs/>
                <w:sz w:val="20"/>
                <w:szCs w:val="20"/>
              </w:rPr>
              <w:t>Общо други доходи от дейността</w:t>
            </w:r>
          </w:p>
        </w:tc>
        <w:tc>
          <w:tcPr>
            <w:tcW w:w="1134" w:type="dxa"/>
            <w:tcBorders>
              <w:top w:val="nil"/>
              <w:left w:val="nil"/>
              <w:bottom w:val="double" w:sz="6" w:space="0" w:color="auto"/>
              <w:right w:val="nil"/>
            </w:tcBorders>
            <w:shd w:val="clear" w:color="000000" w:fill="DCE6F1"/>
            <w:noWrap/>
            <w:vAlign w:val="bottom"/>
            <w:hideMark/>
          </w:tcPr>
          <w:p w:rsidR="00C6357D" w:rsidRPr="00C6357D" w:rsidRDefault="00C6357D" w:rsidP="008659B5">
            <w:pPr>
              <w:spacing w:after="0" w:line="240" w:lineRule="auto"/>
              <w:jc w:val="right"/>
              <w:rPr>
                <w:rFonts w:eastAsia="Times New Roman" w:cs="Arial"/>
                <w:b/>
                <w:bCs/>
                <w:sz w:val="20"/>
                <w:szCs w:val="20"/>
              </w:rPr>
            </w:pPr>
            <w:r w:rsidRPr="00C6357D">
              <w:rPr>
                <w:rFonts w:eastAsia="Times New Roman" w:cs="Arial"/>
                <w:b/>
                <w:bCs/>
                <w:sz w:val="20"/>
                <w:szCs w:val="20"/>
              </w:rPr>
              <w:t>2 227</w:t>
            </w:r>
          </w:p>
        </w:tc>
        <w:tc>
          <w:tcPr>
            <w:tcW w:w="1100" w:type="dxa"/>
            <w:tcBorders>
              <w:top w:val="nil"/>
              <w:left w:val="nil"/>
              <w:bottom w:val="double" w:sz="6" w:space="0" w:color="auto"/>
              <w:right w:val="nil"/>
            </w:tcBorders>
            <w:shd w:val="clear" w:color="000000" w:fill="C5D9F1"/>
            <w:noWrap/>
            <w:vAlign w:val="bottom"/>
            <w:hideMark/>
          </w:tcPr>
          <w:p w:rsidR="00C6357D" w:rsidRPr="00C6357D" w:rsidRDefault="00C6357D">
            <w:pPr>
              <w:spacing w:after="0" w:line="240" w:lineRule="auto"/>
              <w:jc w:val="right"/>
              <w:rPr>
                <w:rFonts w:eastAsia="Times New Roman" w:cs="Arial"/>
                <w:b/>
                <w:bCs/>
                <w:sz w:val="20"/>
                <w:szCs w:val="20"/>
              </w:rPr>
            </w:pPr>
            <w:r w:rsidRPr="00C6357D">
              <w:rPr>
                <w:rFonts w:eastAsia="Times New Roman" w:cs="Arial"/>
                <w:b/>
                <w:bCs/>
                <w:sz w:val="20"/>
                <w:szCs w:val="20"/>
              </w:rPr>
              <w:t>2 109</w:t>
            </w:r>
          </w:p>
        </w:tc>
        <w:tc>
          <w:tcPr>
            <w:tcW w:w="1212" w:type="dxa"/>
            <w:tcBorders>
              <w:top w:val="single" w:sz="4" w:space="0" w:color="auto"/>
              <w:left w:val="nil"/>
              <w:bottom w:val="double" w:sz="6" w:space="0" w:color="auto"/>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6%</w:t>
            </w:r>
          </w:p>
        </w:tc>
        <w:tc>
          <w:tcPr>
            <w:tcW w:w="1114" w:type="dxa"/>
            <w:tcBorders>
              <w:top w:val="single" w:sz="4" w:space="0" w:color="auto"/>
              <w:left w:val="nil"/>
              <w:bottom w:val="double" w:sz="6" w:space="0" w:color="auto"/>
              <w:right w:val="nil"/>
            </w:tcBorders>
            <w:shd w:val="clear" w:color="auto" w:fill="auto"/>
            <w:noWrap/>
            <w:vAlign w:val="bottom"/>
            <w:hideMark/>
          </w:tcPr>
          <w:p w:rsidR="00C6357D" w:rsidRPr="00C6357D" w:rsidRDefault="00C6357D">
            <w:pPr>
              <w:spacing w:after="0" w:line="240" w:lineRule="auto"/>
              <w:jc w:val="right"/>
              <w:rPr>
                <w:rFonts w:eastAsia="Times New Roman" w:cs="Arial"/>
                <w:sz w:val="20"/>
                <w:szCs w:val="20"/>
              </w:rPr>
            </w:pPr>
            <w:r w:rsidRPr="00C6357D">
              <w:rPr>
                <w:rFonts w:eastAsia="Times New Roman" w:cs="Arial"/>
                <w:sz w:val="20"/>
                <w:szCs w:val="20"/>
              </w:rPr>
              <w:t>100%</w:t>
            </w:r>
          </w:p>
        </w:tc>
      </w:tr>
    </w:tbl>
    <w:p w:rsidR="00C6357D" w:rsidRDefault="00C6357D" w:rsidP="00F80195">
      <w:pPr>
        <w:suppressAutoHyphens/>
        <w:autoSpaceDN w:val="0"/>
        <w:spacing w:before="40" w:after="40" w:line="240" w:lineRule="auto"/>
        <w:jc w:val="both"/>
        <w:textAlignment w:val="baseline"/>
        <w:rPr>
          <w:rFonts w:eastAsia="Calibri" w:cs="Calibri"/>
          <w:sz w:val="24"/>
          <w:szCs w:val="24"/>
        </w:rPr>
      </w:pPr>
    </w:p>
    <w:p w:rsidR="00F80195" w:rsidRPr="00893A2E" w:rsidRDefault="00F80195" w:rsidP="00F80195">
      <w:pPr>
        <w:suppressAutoHyphens/>
        <w:autoSpaceDN w:val="0"/>
        <w:spacing w:before="40" w:after="40" w:line="240" w:lineRule="auto"/>
        <w:jc w:val="both"/>
        <w:textAlignment w:val="baseline"/>
        <w:rPr>
          <w:rFonts w:eastAsia="Calibri" w:cs="Calibri"/>
          <w:sz w:val="24"/>
          <w:szCs w:val="24"/>
          <w:lang w:val="en-US"/>
        </w:rPr>
      </w:pPr>
      <w:r w:rsidRPr="00AE6DEE">
        <w:rPr>
          <w:rFonts w:eastAsia="Calibri" w:cs="Calibri"/>
          <w:i/>
          <w:sz w:val="24"/>
          <w:szCs w:val="24"/>
        </w:rPr>
        <w:t>Другите доходи от дейността</w:t>
      </w:r>
      <w:r>
        <w:rPr>
          <w:rFonts w:eastAsia="Calibri" w:cs="Calibri"/>
          <w:sz w:val="24"/>
          <w:szCs w:val="24"/>
        </w:rPr>
        <w:t xml:space="preserve"> </w:t>
      </w:r>
      <w:r w:rsidR="00C6357D">
        <w:rPr>
          <w:rFonts w:eastAsia="Calibri" w:cs="Calibri"/>
          <w:sz w:val="24"/>
          <w:szCs w:val="24"/>
        </w:rPr>
        <w:t>се увеличават с 0,1</w:t>
      </w:r>
      <w:r>
        <w:rPr>
          <w:rFonts w:eastAsia="Calibri" w:cs="Calibri"/>
          <w:sz w:val="24"/>
          <w:szCs w:val="24"/>
        </w:rPr>
        <w:t xml:space="preserve"> </w:t>
      </w:r>
      <w:r w:rsidR="00C6357D">
        <w:rPr>
          <w:rFonts w:eastAsia="Calibri" w:cs="Calibri"/>
          <w:sz w:val="24"/>
          <w:szCs w:val="24"/>
        </w:rPr>
        <w:t>млн.</w:t>
      </w:r>
      <w:r w:rsidR="00053EE4">
        <w:rPr>
          <w:rFonts w:eastAsia="Calibri" w:cs="Calibri"/>
          <w:sz w:val="24"/>
          <w:szCs w:val="24"/>
        </w:rPr>
        <w:t xml:space="preserve"> </w:t>
      </w:r>
      <w:r w:rsidR="00C6357D">
        <w:rPr>
          <w:rFonts w:eastAsia="Calibri" w:cs="Calibri"/>
          <w:sz w:val="24"/>
          <w:szCs w:val="24"/>
        </w:rPr>
        <w:t xml:space="preserve">лв. </w:t>
      </w:r>
      <w:r>
        <w:rPr>
          <w:rFonts w:eastAsia="Calibri" w:cs="Calibri"/>
          <w:sz w:val="24"/>
          <w:szCs w:val="24"/>
        </w:rPr>
        <w:t xml:space="preserve">през първо </w:t>
      </w:r>
      <w:r w:rsidR="00C6357D">
        <w:rPr>
          <w:rFonts w:eastAsia="Calibri" w:cs="Calibri"/>
          <w:sz w:val="24"/>
          <w:szCs w:val="24"/>
        </w:rPr>
        <w:t xml:space="preserve">полугодие </w:t>
      </w:r>
      <w:r>
        <w:rPr>
          <w:rFonts w:eastAsia="Calibri" w:cs="Calibri"/>
          <w:sz w:val="24"/>
          <w:szCs w:val="24"/>
        </w:rPr>
        <w:t xml:space="preserve">2017 г. спрямо първо </w:t>
      </w:r>
      <w:r w:rsidR="00C6357D">
        <w:rPr>
          <w:rFonts w:eastAsia="Calibri" w:cs="Calibri"/>
          <w:sz w:val="24"/>
          <w:szCs w:val="24"/>
        </w:rPr>
        <w:t xml:space="preserve">полугодие </w:t>
      </w:r>
      <w:r>
        <w:rPr>
          <w:rFonts w:eastAsia="Calibri" w:cs="Calibri"/>
          <w:sz w:val="24"/>
          <w:szCs w:val="24"/>
        </w:rPr>
        <w:t>2016 г.</w:t>
      </w:r>
      <w:r w:rsidR="00C6357D">
        <w:rPr>
          <w:rFonts w:eastAsia="Calibri" w:cs="Calibri"/>
          <w:sz w:val="24"/>
          <w:szCs w:val="24"/>
        </w:rPr>
        <w:t xml:space="preserve"> основно в частта на печалбите от продажба на стоки и материали и намаление на н</w:t>
      </w:r>
      <w:r w:rsidR="008460C8">
        <w:rPr>
          <w:rFonts w:eastAsia="Calibri" w:cs="Calibri"/>
          <w:sz w:val="24"/>
          <w:szCs w:val="24"/>
        </w:rPr>
        <w:t>е</w:t>
      </w:r>
      <w:r w:rsidR="00C6357D">
        <w:rPr>
          <w:rFonts w:eastAsia="Calibri" w:cs="Calibri"/>
          <w:sz w:val="24"/>
          <w:szCs w:val="24"/>
        </w:rPr>
        <w:t>тните загуби от търговски вземания и задължения и текущи разплащателни сметки.</w:t>
      </w: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p>
    <w:p w:rsidR="008B0843" w:rsidRDefault="008B0843" w:rsidP="00F80195">
      <w:pPr>
        <w:keepNext/>
        <w:suppressAutoHyphens/>
        <w:autoSpaceDN w:val="0"/>
        <w:spacing w:before="40" w:after="40" w:line="240" w:lineRule="auto"/>
        <w:jc w:val="both"/>
        <w:textAlignment w:val="baseline"/>
        <w:rPr>
          <w:rFonts w:eastAsia="Calibri" w:cs="Calibri"/>
          <w:i/>
          <w:color w:val="1F497D"/>
          <w:sz w:val="24"/>
          <w:szCs w:val="24"/>
          <w:lang w:val="en-US"/>
        </w:rPr>
      </w:pPr>
    </w:p>
    <w:p w:rsidR="00F80195" w:rsidRDefault="00F80195" w:rsidP="00F80195">
      <w:pPr>
        <w:keepNext/>
        <w:suppressAutoHyphens/>
        <w:autoSpaceDN w:val="0"/>
        <w:spacing w:before="40" w:after="40" w:line="240" w:lineRule="auto"/>
        <w:jc w:val="both"/>
        <w:textAlignment w:val="baseline"/>
        <w:rPr>
          <w:rFonts w:eastAsia="Calibri" w:cs="Calibri"/>
          <w:i/>
          <w:color w:val="1F497D"/>
          <w:sz w:val="24"/>
          <w:szCs w:val="24"/>
          <w:lang w:val="en-US"/>
        </w:rPr>
      </w:pPr>
      <w:r w:rsidRPr="00CC5D38">
        <w:rPr>
          <w:rFonts w:eastAsia="Calibri" w:cs="Calibri"/>
          <w:i/>
          <w:color w:val="1F497D"/>
          <w:sz w:val="24"/>
          <w:szCs w:val="24"/>
        </w:rPr>
        <w:t>Разходи за дейността</w:t>
      </w:r>
    </w:p>
    <w:p w:rsidR="00C6357D" w:rsidRDefault="00C6357D" w:rsidP="00F80195">
      <w:pPr>
        <w:tabs>
          <w:tab w:val="left" w:pos="9214"/>
        </w:tabs>
        <w:suppressAutoHyphens/>
        <w:autoSpaceDN w:val="0"/>
        <w:spacing w:before="40" w:after="40" w:line="240" w:lineRule="auto"/>
        <w:jc w:val="both"/>
        <w:textAlignment w:val="baseline"/>
        <w:rPr>
          <w:rFonts w:eastAsia="Calibri" w:cs="Calibri"/>
          <w:sz w:val="24"/>
          <w:szCs w:val="24"/>
          <w:lang w:val="en-US"/>
        </w:rPr>
      </w:pPr>
    </w:p>
    <w:tbl>
      <w:tblPr>
        <w:tblW w:w="9370" w:type="dxa"/>
        <w:tblInd w:w="70" w:type="dxa"/>
        <w:tblCellMar>
          <w:left w:w="70" w:type="dxa"/>
          <w:right w:w="70" w:type="dxa"/>
        </w:tblCellMar>
        <w:tblLook w:val="04A0" w:firstRow="1" w:lastRow="0" w:firstColumn="1" w:lastColumn="0" w:noHBand="0" w:noVBand="1"/>
      </w:tblPr>
      <w:tblGrid>
        <w:gridCol w:w="4820"/>
        <w:gridCol w:w="1134"/>
        <w:gridCol w:w="1134"/>
        <w:gridCol w:w="1134"/>
        <w:gridCol w:w="1148"/>
      </w:tblGrid>
      <w:tr w:rsidR="00F63BBF" w:rsidRPr="00F63BBF" w:rsidTr="00893A2E">
        <w:trPr>
          <w:trHeight w:val="798"/>
        </w:trPr>
        <w:tc>
          <w:tcPr>
            <w:tcW w:w="4820" w:type="dxa"/>
            <w:vMerge w:val="restart"/>
            <w:tcBorders>
              <w:top w:val="nil"/>
              <w:left w:val="nil"/>
              <w:bottom w:val="nil"/>
              <w:right w:val="nil"/>
            </w:tcBorders>
            <w:shd w:val="clear" w:color="auto" w:fill="auto"/>
            <w:vAlign w:val="center"/>
            <w:hideMark/>
          </w:tcPr>
          <w:p w:rsidR="00F63BBF" w:rsidRPr="00F63BBF" w:rsidRDefault="00F63BBF" w:rsidP="00F63BBF">
            <w:pPr>
              <w:spacing w:after="0" w:line="240" w:lineRule="auto"/>
              <w:jc w:val="center"/>
              <w:rPr>
                <w:rFonts w:eastAsia="Times New Roman" w:cs="Arial"/>
                <w:b/>
                <w:bCs/>
                <w:sz w:val="20"/>
                <w:szCs w:val="20"/>
              </w:rPr>
            </w:pPr>
            <w:r w:rsidRPr="00F63BBF">
              <w:rPr>
                <w:rFonts w:eastAsia="Times New Roman" w:cs="Arial"/>
                <w:b/>
                <w:bCs/>
                <w:sz w:val="20"/>
                <w:szCs w:val="20"/>
              </w:rPr>
              <w:t>Разходи за дейността</w:t>
            </w:r>
          </w:p>
        </w:tc>
        <w:tc>
          <w:tcPr>
            <w:tcW w:w="1134" w:type="dxa"/>
            <w:tcBorders>
              <w:top w:val="nil"/>
              <w:left w:val="nil"/>
              <w:bottom w:val="nil"/>
              <w:right w:val="nil"/>
            </w:tcBorders>
            <w:shd w:val="clear" w:color="000000" w:fill="DCE6F1"/>
            <w:noWrap/>
            <w:vAlign w:val="bottom"/>
            <w:hideMark/>
          </w:tcPr>
          <w:p w:rsidR="00F63BBF" w:rsidRPr="00F63BBF" w:rsidRDefault="00F63BBF" w:rsidP="00893A2E">
            <w:pPr>
              <w:spacing w:after="0" w:line="240" w:lineRule="auto"/>
              <w:jc w:val="right"/>
              <w:rPr>
                <w:rFonts w:eastAsia="Times New Roman" w:cs="Arial"/>
                <w:b/>
                <w:bCs/>
                <w:sz w:val="20"/>
                <w:szCs w:val="20"/>
              </w:rPr>
            </w:pPr>
            <w:r w:rsidRPr="00F63BBF">
              <w:rPr>
                <w:rFonts w:eastAsia="Times New Roman" w:cs="Arial"/>
                <w:b/>
                <w:bCs/>
                <w:sz w:val="20"/>
                <w:szCs w:val="20"/>
              </w:rPr>
              <w:t>1-6/2017</w:t>
            </w:r>
          </w:p>
        </w:tc>
        <w:tc>
          <w:tcPr>
            <w:tcW w:w="1134" w:type="dxa"/>
            <w:tcBorders>
              <w:top w:val="nil"/>
              <w:left w:val="nil"/>
              <w:bottom w:val="nil"/>
              <w:right w:val="nil"/>
            </w:tcBorders>
            <w:shd w:val="clear" w:color="000000" w:fill="C5D9F1"/>
            <w:noWrap/>
            <w:vAlign w:val="bottom"/>
            <w:hideMark/>
          </w:tcPr>
          <w:p w:rsidR="00F63BBF" w:rsidRPr="00F63BBF" w:rsidRDefault="00F63BBF" w:rsidP="00893A2E">
            <w:pPr>
              <w:spacing w:after="0" w:line="240" w:lineRule="auto"/>
              <w:jc w:val="right"/>
              <w:rPr>
                <w:rFonts w:eastAsia="Times New Roman" w:cs="Arial"/>
                <w:b/>
                <w:bCs/>
                <w:sz w:val="20"/>
                <w:szCs w:val="20"/>
              </w:rPr>
            </w:pPr>
            <w:r w:rsidRPr="00F63BBF">
              <w:rPr>
                <w:rFonts w:eastAsia="Times New Roman" w:cs="Arial"/>
                <w:b/>
                <w:bCs/>
                <w:sz w:val="20"/>
                <w:szCs w:val="20"/>
              </w:rPr>
              <w:t>1-6/2016</w:t>
            </w:r>
          </w:p>
        </w:tc>
        <w:tc>
          <w:tcPr>
            <w:tcW w:w="1134" w:type="dxa"/>
            <w:tcBorders>
              <w:top w:val="nil"/>
              <w:left w:val="nil"/>
              <w:bottom w:val="nil"/>
              <w:right w:val="nil"/>
            </w:tcBorders>
            <w:shd w:val="clear" w:color="auto" w:fill="auto"/>
            <w:noWrap/>
            <w:vAlign w:val="center"/>
            <w:hideMark/>
          </w:tcPr>
          <w:p w:rsidR="00F63BBF" w:rsidRPr="00F63BBF" w:rsidRDefault="00F63BBF" w:rsidP="00893A2E">
            <w:pPr>
              <w:spacing w:after="0" w:line="240" w:lineRule="auto"/>
              <w:jc w:val="right"/>
              <w:rPr>
                <w:rFonts w:eastAsia="Times New Roman" w:cs="Arial"/>
                <w:b/>
                <w:bCs/>
                <w:sz w:val="20"/>
                <w:szCs w:val="20"/>
              </w:rPr>
            </w:pPr>
            <w:r w:rsidRPr="00F63BBF">
              <w:rPr>
                <w:rFonts w:eastAsia="Times New Roman" w:cs="Arial"/>
                <w:b/>
                <w:bCs/>
                <w:sz w:val="20"/>
                <w:szCs w:val="20"/>
              </w:rPr>
              <w:t>промяна</w:t>
            </w:r>
          </w:p>
        </w:tc>
        <w:tc>
          <w:tcPr>
            <w:tcW w:w="1148" w:type="dxa"/>
            <w:tcBorders>
              <w:top w:val="nil"/>
              <w:left w:val="nil"/>
              <w:bottom w:val="nil"/>
              <w:right w:val="nil"/>
            </w:tcBorders>
            <w:shd w:val="clear" w:color="auto" w:fill="auto"/>
            <w:vAlign w:val="center"/>
            <w:hideMark/>
          </w:tcPr>
          <w:p w:rsidR="00F63BBF" w:rsidRPr="00F63BBF" w:rsidRDefault="00F63BBF" w:rsidP="00893A2E">
            <w:pPr>
              <w:spacing w:after="0" w:line="240" w:lineRule="auto"/>
              <w:jc w:val="right"/>
              <w:rPr>
                <w:rFonts w:eastAsia="Times New Roman" w:cs="Arial"/>
                <w:b/>
                <w:bCs/>
                <w:sz w:val="20"/>
                <w:szCs w:val="20"/>
              </w:rPr>
            </w:pPr>
            <w:r w:rsidRPr="00F63BBF">
              <w:rPr>
                <w:rFonts w:eastAsia="Times New Roman" w:cs="Arial"/>
                <w:b/>
                <w:bCs/>
                <w:sz w:val="20"/>
                <w:szCs w:val="20"/>
              </w:rPr>
              <w:t>отн.дял на разходите за 2017</w:t>
            </w:r>
          </w:p>
        </w:tc>
      </w:tr>
      <w:tr w:rsidR="00F63BBF" w:rsidRPr="00F63BBF" w:rsidTr="00893A2E">
        <w:trPr>
          <w:trHeight w:val="301"/>
        </w:trPr>
        <w:tc>
          <w:tcPr>
            <w:tcW w:w="4820" w:type="dxa"/>
            <w:vMerge/>
            <w:tcBorders>
              <w:top w:val="nil"/>
              <w:left w:val="nil"/>
              <w:bottom w:val="nil"/>
              <w:right w:val="nil"/>
            </w:tcBorders>
            <w:vAlign w:val="center"/>
            <w:hideMark/>
          </w:tcPr>
          <w:p w:rsidR="00F63BBF" w:rsidRPr="00F63BBF" w:rsidRDefault="00F63BBF" w:rsidP="00F63BBF">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b/>
                <w:bCs/>
                <w:i/>
                <w:iCs/>
                <w:sz w:val="20"/>
                <w:szCs w:val="20"/>
              </w:rPr>
            </w:pPr>
            <w:r w:rsidRPr="00F63BBF">
              <w:rPr>
                <w:rFonts w:eastAsia="Times New Roman" w:cs="Arial"/>
                <w:b/>
                <w:bCs/>
                <w:i/>
                <w:iCs/>
                <w:sz w:val="20"/>
                <w:szCs w:val="20"/>
              </w:rPr>
              <w:t>BGN '000</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b/>
                <w:bCs/>
                <w:i/>
                <w:iCs/>
                <w:sz w:val="20"/>
                <w:szCs w:val="20"/>
              </w:rPr>
            </w:pPr>
            <w:r w:rsidRPr="00F63BBF">
              <w:rPr>
                <w:rFonts w:eastAsia="Times New Roman" w:cs="Arial"/>
                <w:b/>
                <w:bCs/>
                <w:i/>
                <w:iCs/>
                <w:sz w:val="20"/>
                <w:szCs w:val="20"/>
              </w:rPr>
              <w:t>BGN '000</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w:t>
            </w:r>
          </w:p>
        </w:tc>
      </w:tr>
      <w:tr w:rsidR="00F63BBF" w:rsidRPr="00F63BBF" w:rsidTr="00893A2E">
        <w:trPr>
          <w:trHeight w:val="554"/>
        </w:trPr>
        <w:tc>
          <w:tcPr>
            <w:tcW w:w="4820" w:type="dxa"/>
            <w:tcBorders>
              <w:top w:val="nil"/>
              <w:left w:val="nil"/>
              <w:bottom w:val="nil"/>
              <w:right w:val="nil"/>
            </w:tcBorders>
            <w:shd w:val="clear" w:color="auto" w:fill="auto"/>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Промени в запасите от готова продукция и незавършено производство</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(6 097)</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(4 281)</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42%</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-9%</w:t>
            </w:r>
          </w:p>
        </w:tc>
      </w:tr>
      <w:tr w:rsidR="00F63BBF" w:rsidRPr="00F63BBF" w:rsidTr="00893A2E">
        <w:trPr>
          <w:trHeight w:val="301"/>
        </w:trPr>
        <w:tc>
          <w:tcPr>
            <w:tcW w:w="4820" w:type="dxa"/>
            <w:tcBorders>
              <w:top w:val="nil"/>
              <w:left w:val="nil"/>
              <w:bottom w:val="nil"/>
              <w:right w:val="nil"/>
            </w:tcBorders>
            <w:shd w:val="clear" w:color="auto" w:fill="auto"/>
            <w:noWrap/>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Разходи за суровини и материали</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31 634</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29 749</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6%</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45%</w:t>
            </w:r>
          </w:p>
        </w:tc>
      </w:tr>
      <w:tr w:rsidR="00F63BBF" w:rsidRPr="00F63BBF" w:rsidTr="00893A2E">
        <w:trPr>
          <w:trHeight w:val="301"/>
        </w:trPr>
        <w:tc>
          <w:tcPr>
            <w:tcW w:w="4820" w:type="dxa"/>
            <w:tcBorders>
              <w:top w:val="nil"/>
              <w:left w:val="nil"/>
              <w:bottom w:val="nil"/>
              <w:right w:val="nil"/>
            </w:tcBorders>
            <w:shd w:val="clear" w:color="auto" w:fill="auto"/>
            <w:noWrap/>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Разходи за външни услуги</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17 272</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14 863</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16%</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24%</w:t>
            </w:r>
          </w:p>
        </w:tc>
      </w:tr>
      <w:tr w:rsidR="00F63BBF" w:rsidRPr="00F63BBF" w:rsidTr="00893A2E">
        <w:trPr>
          <w:trHeight w:val="301"/>
        </w:trPr>
        <w:tc>
          <w:tcPr>
            <w:tcW w:w="4820" w:type="dxa"/>
            <w:tcBorders>
              <w:top w:val="nil"/>
              <w:left w:val="nil"/>
              <w:bottom w:val="nil"/>
              <w:right w:val="nil"/>
            </w:tcBorders>
            <w:shd w:val="clear" w:color="auto" w:fill="auto"/>
            <w:noWrap/>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Разходи за персонала</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19 787</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18 246</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8%</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28%</w:t>
            </w:r>
          </w:p>
        </w:tc>
      </w:tr>
      <w:tr w:rsidR="00F63BBF" w:rsidRPr="00F63BBF" w:rsidTr="00893A2E">
        <w:trPr>
          <w:trHeight w:val="301"/>
        </w:trPr>
        <w:tc>
          <w:tcPr>
            <w:tcW w:w="4820" w:type="dxa"/>
            <w:tcBorders>
              <w:top w:val="nil"/>
              <w:left w:val="nil"/>
              <w:bottom w:val="nil"/>
              <w:right w:val="nil"/>
            </w:tcBorders>
            <w:shd w:val="clear" w:color="auto" w:fill="auto"/>
            <w:noWrap/>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Разходи за амортизация</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7 350</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7 008</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5%</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10%</w:t>
            </w:r>
          </w:p>
        </w:tc>
      </w:tr>
      <w:tr w:rsidR="00F63BBF" w:rsidRPr="00F63BBF" w:rsidTr="00893A2E">
        <w:trPr>
          <w:trHeight w:val="301"/>
        </w:trPr>
        <w:tc>
          <w:tcPr>
            <w:tcW w:w="4820" w:type="dxa"/>
            <w:tcBorders>
              <w:top w:val="nil"/>
              <w:left w:val="nil"/>
              <w:bottom w:val="nil"/>
              <w:right w:val="nil"/>
            </w:tcBorders>
            <w:shd w:val="clear" w:color="auto" w:fill="auto"/>
            <w:noWrap/>
            <w:vAlign w:val="bottom"/>
            <w:hideMark/>
          </w:tcPr>
          <w:p w:rsidR="00F63BBF" w:rsidRPr="00F63BBF" w:rsidRDefault="00F63BBF" w:rsidP="00F63BBF">
            <w:pPr>
              <w:spacing w:after="0" w:line="240" w:lineRule="auto"/>
              <w:rPr>
                <w:rFonts w:eastAsia="Times New Roman" w:cs="Arial"/>
                <w:sz w:val="20"/>
                <w:szCs w:val="20"/>
              </w:rPr>
            </w:pPr>
            <w:r w:rsidRPr="00F63BBF">
              <w:rPr>
                <w:rFonts w:eastAsia="Times New Roman" w:cs="Arial"/>
                <w:sz w:val="20"/>
                <w:szCs w:val="20"/>
              </w:rPr>
              <w:t>Други разходи за дейността</w:t>
            </w:r>
          </w:p>
        </w:tc>
        <w:tc>
          <w:tcPr>
            <w:tcW w:w="1134" w:type="dxa"/>
            <w:tcBorders>
              <w:top w:val="nil"/>
              <w:left w:val="nil"/>
              <w:bottom w:val="nil"/>
              <w:right w:val="nil"/>
            </w:tcBorders>
            <w:shd w:val="clear" w:color="000000" w:fill="DCE6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890</w:t>
            </w:r>
          </w:p>
        </w:tc>
        <w:tc>
          <w:tcPr>
            <w:tcW w:w="1134" w:type="dxa"/>
            <w:tcBorders>
              <w:top w:val="nil"/>
              <w:left w:val="nil"/>
              <w:bottom w:val="nil"/>
              <w:right w:val="nil"/>
            </w:tcBorders>
            <w:shd w:val="clear" w:color="000000" w:fill="C5D9F1"/>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1 144</w:t>
            </w:r>
          </w:p>
        </w:tc>
        <w:tc>
          <w:tcPr>
            <w:tcW w:w="1134"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-22%</w:t>
            </w:r>
          </w:p>
        </w:tc>
        <w:tc>
          <w:tcPr>
            <w:tcW w:w="1148" w:type="dxa"/>
            <w:tcBorders>
              <w:top w:val="nil"/>
              <w:left w:val="nil"/>
              <w:bottom w:val="nil"/>
              <w:right w:val="nil"/>
            </w:tcBorders>
            <w:shd w:val="clear" w:color="auto" w:fill="auto"/>
            <w:noWrap/>
            <w:vAlign w:val="bottom"/>
            <w:hideMark/>
          </w:tcPr>
          <w:p w:rsidR="00F63BBF" w:rsidRPr="00F63BBF" w:rsidRDefault="00F63BBF">
            <w:pPr>
              <w:spacing w:after="0" w:line="240" w:lineRule="auto"/>
              <w:jc w:val="right"/>
              <w:rPr>
                <w:rFonts w:eastAsia="Times New Roman" w:cs="Arial"/>
                <w:sz w:val="20"/>
                <w:szCs w:val="20"/>
              </w:rPr>
            </w:pPr>
            <w:r w:rsidRPr="00F63BBF">
              <w:rPr>
                <w:rFonts w:eastAsia="Times New Roman" w:cs="Arial"/>
                <w:sz w:val="20"/>
                <w:szCs w:val="20"/>
              </w:rPr>
              <w:t>1%</w:t>
            </w:r>
          </w:p>
        </w:tc>
      </w:tr>
      <w:tr w:rsidR="00F63BBF" w:rsidRPr="00F63BBF" w:rsidTr="00893A2E">
        <w:trPr>
          <w:trHeight w:val="301"/>
        </w:trPr>
        <w:tc>
          <w:tcPr>
            <w:tcW w:w="4820" w:type="dxa"/>
            <w:tcBorders>
              <w:top w:val="single" w:sz="4" w:space="0" w:color="auto"/>
              <w:left w:val="nil"/>
              <w:bottom w:val="double" w:sz="6" w:space="0" w:color="auto"/>
              <w:right w:val="nil"/>
            </w:tcBorders>
            <w:shd w:val="clear" w:color="auto" w:fill="auto"/>
            <w:vAlign w:val="bottom"/>
            <w:hideMark/>
          </w:tcPr>
          <w:p w:rsidR="00F63BBF" w:rsidRPr="00F63BBF" w:rsidRDefault="00F63BBF" w:rsidP="00F63BBF">
            <w:pPr>
              <w:spacing w:after="0" w:line="240" w:lineRule="auto"/>
              <w:rPr>
                <w:rFonts w:eastAsia="Times New Roman" w:cs="Arial"/>
                <w:b/>
                <w:bCs/>
                <w:sz w:val="20"/>
                <w:szCs w:val="20"/>
              </w:rPr>
            </w:pPr>
            <w:r w:rsidRPr="00F63BBF">
              <w:rPr>
                <w:rFonts w:eastAsia="Times New Roman" w:cs="Arial"/>
                <w:b/>
                <w:bCs/>
                <w:sz w:val="20"/>
                <w:szCs w:val="20"/>
              </w:rPr>
              <w:t>Общо разходи за дейността</w:t>
            </w:r>
          </w:p>
        </w:tc>
        <w:tc>
          <w:tcPr>
            <w:tcW w:w="1134" w:type="dxa"/>
            <w:tcBorders>
              <w:top w:val="single" w:sz="4" w:space="0" w:color="auto"/>
              <w:left w:val="nil"/>
              <w:bottom w:val="double" w:sz="6" w:space="0" w:color="auto"/>
              <w:right w:val="nil"/>
            </w:tcBorders>
            <w:shd w:val="clear" w:color="000000" w:fill="DCE6F1"/>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70 836</w:t>
            </w:r>
          </w:p>
        </w:tc>
        <w:tc>
          <w:tcPr>
            <w:tcW w:w="1134" w:type="dxa"/>
            <w:tcBorders>
              <w:top w:val="single" w:sz="4" w:space="0" w:color="auto"/>
              <w:left w:val="nil"/>
              <w:bottom w:val="double" w:sz="6" w:space="0" w:color="auto"/>
              <w:right w:val="nil"/>
            </w:tcBorders>
            <w:shd w:val="clear" w:color="000000" w:fill="DCE6F1"/>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66 729</w:t>
            </w:r>
          </w:p>
        </w:tc>
        <w:tc>
          <w:tcPr>
            <w:tcW w:w="1134" w:type="dxa"/>
            <w:tcBorders>
              <w:top w:val="single" w:sz="4" w:space="0" w:color="auto"/>
              <w:left w:val="nil"/>
              <w:bottom w:val="double" w:sz="6" w:space="0" w:color="auto"/>
              <w:right w:val="nil"/>
            </w:tcBorders>
            <w:shd w:val="clear" w:color="auto" w:fill="auto"/>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6%</w:t>
            </w:r>
          </w:p>
        </w:tc>
        <w:tc>
          <w:tcPr>
            <w:tcW w:w="1148" w:type="dxa"/>
            <w:tcBorders>
              <w:top w:val="single" w:sz="4" w:space="0" w:color="auto"/>
              <w:left w:val="nil"/>
              <w:bottom w:val="double" w:sz="6" w:space="0" w:color="auto"/>
              <w:right w:val="nil"/>
            </w:tcBorders>
            <w:shd w:val="clear" w:color="auto" w:fill="auto"/>
            <w:noWrap/>
            <w:vAlign w:val="bottom"/>
            <w:hideMark/>
          </w:tcPr>
          <w:p w:rsidR="00F63BBF" w:rsidRPr="00F63BBF" w:rsidRDefault="00F63BBF">
            <w:pPr>
              <w:spacing w:after="0" w:line="240" w:lineRule="auto"/>
              <w:jc w:val="right"/>
              <w:rPr>
                <w:rFonts w:eastAsia="Times New Roman" w:cs="Arial"/>
                <w:b/>
                <w:bCs/>
                <w:sz w:val="20"/>
                <w:szCs w:val="20"/>
              </w:rPr>
            </w:pPr>
            <w:r w:rsidRPr="00F63BBF">
              <w:rPr>
                <w:rFonts w:eastAsia="Times New Roman" w:cs="Arial"/>
                <w:b/>
                <w:bCs/>
                <w:sz w:val="20"/>
                <w:szCs w:val="20"/>
              </w:rPr>
              <w:t>100%</w:t>
            </w:r>
          </w:p>
        </w:tc>
      </w:tr>
    </w:tbl>
    <w:p w:rsidR="00F63BBF" w:rsidRDefault="00F63BBF" w:rsidP="00F80195">
      <w:pPr>
        <w:tabs>
          <w:tab w:val="left" w:pos="9214"/>
        </w:tabs>
        <w:suppressAutoHyphens/>
        <w:autoSpaceDN w:val="0"/>
        <w:spacing w:before="40" w:after="40" w:line="240" w:lineRule="auto"/>
        <w:jc w:val="both"/>
        <w:textAlignment w:val="baseline"/>
        <w:rPr>
          <w:rFonts w:eastAsia="Calibri" w:cs="Calibri"/>
          <w:sz w:val="24"/>
          <w:szCs w:val="24"/>
          <w:lang w:val="en-US"/>
        </w:rPr>
      </w:pPr>
    </w:p>
    <w:p w:rsidR="00F80195" w:rsidRDefault="00F80195" w:rsidP="00F80195">
      <w:pPr>
        <w:tabs>
          <w:tab w:val="left" w:pos="9214"/>
        </w:tabs>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Разходите за дейността</w:t>
      </w:r>
      <w:r>
        <w:rPr>
          <w:rFonts w:eastAsia="Calibri" w:cs="Calibri"/>
          <w:sz w:val="24"/>
          <w:szCs w:val="24"/>
        </w:rPr>
        <w:t xml:space="preserve"> се увеличават с </w:t>
      </w:r>
      <w:r w:rsidR="00F25615">
        <w:rPr>
          <w:rFonts w:eastAsia="Calibri" w:cs="Calibri"/>
          <w:sz w:val="24"/>
          <w:szCs w:val="24"/>
          <w:lang w:val="en-US"/>
        </w:rPr>
        <w:t>4</w:t>
      </w:r>
      <w:r w:rsidR="008B1BC1">
        <w:rPr>
          <w:rFonts w:eastAsia="Calibri" w:cs="Calibri"/>
          <w:sz w:val="24"/>
          <w:szCs w:val="24"/>
        </w:rPr>
        <w:t>,</w:t>
      </w:r>
      <w:r w:rsidR="00F25615">
        <w:rPr>
          <w:rFonts w:eastAsia="Calibri" w:cs="Calibri"/>
          <w:sz w:val="24"/>
          <w:szCs w:val="24"/>
          <w:lang w:val="en-US"/>
        </w:rPr>
        <w:t>1</w:t>
      </w:r>
      <w:r>
        <w:rPr>
          <w:rFonts w:eastAsia="Calibri" w:cs="Calibri"/>
          <w:sz w:val="24"/>
          <w:szCs w:val="24"/>
        </w:rPr>
        <w:t xml:space="preserve"> млн. лв. или с </w:t>
      </w:r>
      <w:r w:rsidR="00F25615">
        <w:rPr>
          <w:rFonts w:eastAsia="Calibri" w:cs="Calibri"/>
          <w:sz w:val="24"/>
          <w:szCs w:val="24"/>
          <w:lang w:val="en-US"/>
        </w:rPr>
        <w:t>6</w:t>
      </w:r>
      <w:r>
        <w:rPr>
          <w:rFonts w:eastAsia="Calibri" w:cs="Calibri"/>
          <w:sz w:val="24"/>
          <w:szCs w:val="24"/>
        </w:rPr>
        <w:t>% от  </w:t>
      </w:r>
      <w:r w:rsidR="00F25615">
        <w:rPr>
          <w:rFonts w:eastAsia="Calibri" w:cs="Calibri"/>
          <w:sz w:val="24"/>
          <w:szCs w:val="24"/>
          <w:lang w:val="en-US"/>
        </w:rPr>
        <w:t>66</w:t>
      </w:r>
      <w:r w:rsidR="00F25615">
        <w:rPr>
          <w:rFonts w:eastAsia="Calibri" w:cs="Calibri"/>
          <w:sz w:val="24"/>
          <w:szCs w:val="24"/>
        </w:rPr>
        <w:t>,7</w:t>
      </w:r>
      <w:r>
        <w:rPr>
          <w:rFonts w:eastAsia="Calibri" w:cs="Calibri"/>
          <w:sz w:val="24"/>
          <w:szCs w:val="24"/>
        </w:rPr>
        <w:t xml:space="preserve"> млн. </w:t>
      </w:r>
      <w:r w:rsidRPr="00AE6DEE">
        <w:rPr>
          <w:rFonts w:eastAsia="Calibri" w:cs="Calibri"/>
          <w:sz w:val="24"/>
          <w:szCs w:val="24"/>
        </w:rPr>
        <w:t>лв. през</w:t>
      </w:r>
      <w:r>
        <w:rPr>
          <w:rFonts w:eastAsia="Calibri" w:cs="Calibri"/>
          <w:sz w:val="24"/>
          <w:szCs w:val="24"/>
        </w:rPr>
        <w:t xml:space="preserve"> първо </w:t>
      </w:r>
      <w:r w:rsidR="00F25615">
        <w:rPr>
          <w:rFonts w:eastAsia="Calibri" w:cs="Calibri"/>
          <w:sz w:val="24"/>
          <w:szCs w:val="24"/>
        </w:rPr>
        <w:t xml:space="preserve">полугодие </w:t>
      </w:r>
      <w:r>
        <w:rPr>
          <w:rFonts w:eastAsia="Calibri" w:cs="Calibri"/>
          <w:sz w:val="24"/>
          <w:szCs w:val="24"/>
        </w:rPr>
        <w:t>2016 г. до  </w:t>
      </w:r>
      <w:r w:rsidR="00F25615">
        <w:rPr>
          <w:rFonts w:eastAsia="Calibri" w:cs="Calibri"/>
          <w:sz w:val="24"/>
          <w:szCs w:val="24"/>
        </w:rPr>
        <w:t>70,8</w:t>
      </w:r>
      <w:r>
        <w:rPr>
          <w:rFonts w:eastAsia="Calibri" w:cs="Calibri"/>
          <w:sz w:val="24"/>
          <w:szCs w:val="24"/>
        </w:rPr>
        <w:t xml:space="preserve"> млн. лв. през първо </w:t>
      </w:r>
      <w:r w:rsidR="00F25615">
        <w:rPr>
          <w:rFonts w:eastAsia="Calibri" w:cs="Calibri"/>
          <w:sz w:val="24"/>
          <w:szCs w:val="24"/>
        </w:rPr>
        <w:t xml:space="preserve">полугодие </w:t>
      </w:r>
      <w:r>
        <w:rPr>
          <w:rFonts w:eastAsia="Calibri" w:cs="Calibri"/>
          <w:sz w:val="24"/>
          <w:szCs w:val="24"/>
        </w:rPr>
        <w:t xml:space="preserve">2017 г., което е обвързано с увеличение на продажбите от началото на 2017 г. и </w:t>
      </w:r>
      <w:r w:rsidR="008460C8">
        <w:rPr>
          <w:rFonts w:eastAsia="Calibri" w:cs="Calibri"/>
          <w:color w:val="FF0000"/>
          <w:sz w:val="24"/>
          <w:szCs w:val="24"/>
        </w:rPr>
        <w:t>увеличение на разходите за външни услуги</w:t>
      </w:r>
      <w:r>
        <w:rPr>
          <w:rFonts w:eastAsia="Calibri" w:cs="Calibri"/>
          <w:sz w:val="24"/>
          <w:szCs w:val="24"/>
        </w:rPr>
        <w:t>.</w:t>
      </w:r>
    </w:p>
    <w:p w:rsidR="00F80195" w:rsidRDefault="00F80195" w:rsidP="00F80195">
      <w:pPr>
        <w:tabs>
          <w:tab w:val="left" w:pos="9214"/>
        </w:tabs>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 xml:space="preserve">Разходите за </w:t>
      </w:r>
      <w:r>
        <w:rPr>
          <w:rFonts w:eastAsia="Calibri" w:cs="Calibri"/>
          <w:i/>
          <w:sz w:val="24"/>
          <w:szCs w:val="24"/>
        </w:rPr>
        <w:t xml:space="preserve">суровини и </w:t>
      </w:r>
      <w:r w:rsidRPr="00AE6DEE">
        <w:rPr>
          <w:rFonts w:eastAsia="Calibri" w:cs="Calibri"/>
          <w:i/>
          <w:sz w:val="24"/>
          <w:szCs w:val="24"/>
        </w:rPr>
        <w:t>материали</w:t>
      </w:r>
      <w:r>
        <w:rPr>
          <w:rFonts w:eastAsia="Calibri" w:cs="Calibri"/>
          <w:sz w:val="24"/>
          <w:szCs w:val="24"/>
        </w:rPr>
        <w:t xml:space="preserve"> (с дял </w:t>
      </w:r>
      <w:r w:rsidR="00F25615">
        <w:rPr>
          <w:rFonts w:eastAsia="Calibri" w:cs="Calibri"/>
          <w:sz w:val="24"/>
          <w:szCs w:val="24"/>
        </w:rPr>
        <w:t>45</w:t>
      </w:r>
      <w:r>
        <w:rPr>
          <w:rFonts w:eastAsia="Calibri" w:cs="Calibri"/>
          <w:sz w:val="24"/>
          <w:szCs w:val="24"/>
        </w:rPr>
        <w:t xml:space="preserve">%) се увеличават с </w:t>
      </w:r>
      <w:r w:rsidR="00F25615">
        <w:rPr>
          <w:rFonts w:eastAsia="Calibri" w:cs="Calibri"/>
          <w:sz w:val="24"/>
          <w:szCs w:val="24"/>
        </w:rPr>
        <w:t>1,9</w:t>
      </w:r>
      <w:r>
        <w:rPr>
          <w:rFonts w:eastAsia="Calibri" w:cs="Calibri"/>
          <w:sz w:val="24"/>
          <w:szCs w:val="24"/>
        </w:rPr>
        <w:t xml:space="preserve"> млн. лв. или с</w:t>
      </w:r>
      <w:r w:rsidRPr="00EC0C5B">
        <w:rPr>
          <w:rFonts w:eastAsia="Calibri" w:cs="Calibri"/>
          <w:sz w:val="24"/>
          <w:szCs w:val="24"/>
          <w:lang w:val="ru-RU"/>
        </w:rPr>
        <w:t xml:space="preserve"> </w:t>
      </w:r>
      <w:r w:rsidR="00F25615">
        <w:rPr>
          <w:rFonts w:eastAsia="Calibri" w:cs="Calibri"/>
          <w:sz w:val="24"/>
          <w:szCs w:val="24"/>
          <w:lang w:val="ru-RU"/>
        </w:rPr>
        <w:t>6</w:t>
      </w:r>
      <w:r>
        <w:rPr>
          <w:rFonts w:eastAsia="Calibri" w:cs="Calibri"/>
          <w:sz w:val="24"/>
          <w:szCs w:val="24"/>
        </w:rPr>
        <w:t xml:space="preserve">% от </w:t>
      </w:r>
      <w:r w:rsidR="00F25615">
        <w:rPr>
          <w:rFonts w:eastAsia="Calibri" w:cs="Calibri"/>
          <w:sz w:val="24"/>
          <w:szCs w:val="24"/>
        </w:rPr>
        <w:t>29,7</w:t>
      </w:r>
      <w:r>
        <w:rPr>
          <w:rFonts w:eastAsia="Calibri" w:cs="Calibri"/>
          <w:sz w:val="24"/>
          <w:szCs w:val="24"/>
        </w:rPr>
        <w:t xml:space="preserve"> млн. </w:t>
      </w:r>
      <w:r w:rsidRPr="00AE6DEE">
        <w:rPr>
          <w:rFonts w:eastAsia="Calibri" w:cs="Calibri"/>
          <w:sz w:val="24"/>
          <w:szCs w:val="24"/>
        </w:rPr>
        <w:t xml:space="preserve">лв. през </w:t>
      </w:r>
      <w:r>
        <w:rPr>
          <w:rFonts w:eastAsia="Calibri" w:cs="Calibri"/>
          <w:sz w:val="24"/>
          <w:szCs w:val="24"/>
        </w:rPr>
        <w:t xml:space="preserve">първо </w:t>
      </w:r>
      <w:r w:rsidR="00F25615">
        <w:rPr>
          <w:rFonts w:eastAsia="Calibri" w:cs="Calibri"/>
          <w:sz w:val="24"/>
          <w:szCs w:val="24"/>
        </w:rPr>
        <w:t xml:space="preserve">полугодие </w:t>
      </w:r>
      <w:r>
        <w:rPr>
          <w:rFonts w:eastAsia="Calibri" w:cs="Calibri"/>
          <w:sz w:val="24"/>
          <w:szCs w:val="24"/>
        </w:rPr>
        <w:t xml:space="preserve">2016 г. до </w:t>
      </w:r>
      <w:r w:rsidR="00F25615">
        <w:rPr>
          <w:rFonts w:eastAsia="Calibri" w:cs="Calibri"/>
          <w:sz w:val="24"/>
          <w:szCs w:val="24"/>
        </w:rPr>
        <w:t xml:space="preserve">31 </w:t>
      </w:r>
      <w:r>
        <w:rPr>
          <w:rFonts w:eastAsia="Calibri" w:cs="Calibri"/>
          <w:sz w:val="24"/>
          <w:szCs w:val="24"/>
        </w:rPr>
        <w:t xml:space="preserve">млн. лв. през първо </w:t>
      </w:r>
      <w:r w:rsidR="00F25615">
        <w:rPr>
          <w:rFonts w:eastAsia="Calibri" w:cs="Calibri"/>
          <w:sz w:val="24"/>
          <w:szCs w:val="24"/>
        </w:rPr>
        <w:t xml:space="preserve">полугодие </w:t>
      </w:r>
      <w:r>
        <w:rPr>
          <w:rFonts w:eastAsia="Calibri" w:cs="Calibri"/>
          <w:sz w:val="24"/>
          <w:szCs w:val="24"/>
        </w:rPr>
        <w:t xml:space="preserve">2017 г., като с най-голямо влияние е </w:t>
      </w:r>
      <w:r w:rsidR="00F25615">
        <w:rPr>
          <w:rFonts w:eastAsia="Calibri" w:cs="Calibri"/>
          <w:sz w:val="24"/>
          <w:szCs w:val="24"/>
        </w:rPr>
        <w:t xml:space="preserve">увеличението  </w:t>
      </w:r>
      <w:r>
        <w:rPr>
          <w:rFonts w:eastAsia="Calibri" w:cs="Calibri"/>
          <w:sz w:val="24"/>
          <w:szCs w:val="24"/>
        </w:rPr>
        <w:t xml:space="preserve">на основните материали с </w:t>
      </w:r>
      <w:r w:rsidR="00F25615">
        <w:rPr>
          <w:rFonts w:eastAsia="Calibri" w:cs="Calibri"/>
          <w:sz w:val="24"/>
          <w:szCs w:val="24"/>
        </w:rPr>
        <w:t>0,7</w:t>
      </w:r>
      <w:r>
        <w:rPr>
          <w:rFonts w:eastAsia="Calibri" w:cs="Calibri"/>
          <w:sz w:val="24"/>
          <w:szCs w:val="24"/>
        </w:rPr>
        <w:t xml:space="preserve"> млн.</w:t>
      </w:r>
      <w:r w:rsidR="009872D6">
        <w:rPr>
          <w:rFonts w:eastAsia="Calibri" w:cs="Calibri"/>
          <w:sz w:val="24"/>
          <w:szCs w:val="24"/>
        </w:rPr>
        <w:t xml:space="preserve"> </w:t>
      </w:r>
      <w:r>
        <w:rPr>
          <w:rFonts w:eastAsia="Calibri" w:cs="Calibri"/>
          <w:sz w:val="24"/>
          <w:szCs w:val="24"/>
        </w:rPr>
        <w:t>лв. основно в частта на течни и твърди химикали, флакони, ампули</w:t>
      </w:r>
      <w:r w:rsidR="00F25615">
        <w:rPr>
          <w:rFonts w:eastAsia="Calibri" w:cs="Calibri"/>
          <w:sz w:val="24"/>
          <w:szCs w:val="24"/>
        </w:rPr>
        <w:t>,</w:t>
      </w:r>
      <w:r>
        <w:rPr>
          <w:rFonts w:eastAsia="Calibri" w:cs="Calibri"/>
          <w:sz w:val="24"/>
          <w:szCs w:val="24"/>
        </w:rPr>
        <w:t xml:space="preserve"> билки</w:t>
      </w:r>
      <w:r w:rsidR="00F25615">
        <w:rPr>
          <w:rFonts w:eastAsia="Calibri" w:cs="Calibri"/>
          <w:sz w:val="24"/>
          <w:szCs w:val="24"/>
        </w:rPr>
        <w:t xml:space="preserve"> и опаковъчни материали</w:t>
      </w:r>
      <w:r>
        <w:rPr>
          <w:rFonts w:eastAsia="Calibri" w:cs="Calibri"/>
          <w:sz w:val="24"/>
          <w:szCs w:val="24"/>
        </w:rPr>
        <w:t>. Намаление регистрират разходите за субстанции.</w:t>
      </w:r>
    </w:p>
    <w:p w:rsidR="00F80195" w:rsidRPr="00CC5D38" w:rsidRDefault="00F80195" w:rsidP="00F80195">
      <w:pPr>
        <w:tabs>
          <w:tab w:val="left" w:pos="9356"/>
        </w:tabs>
        <w:suppressAutoHyphens/>
        <w:autoSpaceDN w:val="0"/>
        <w:spacing w:before="40" w:after="40" w:line="240" w:lineRule="auto"/>
        <w:jc w:val="both"/>
        <w:textAlignment w:val="baseline"/>
        <w:rPr>
          <w:rFonts w:eastAsia="Calibri" w:cs="Calibri"/>
          <w:sz w:val="24"/>
          <w:szCs w:val="24"/>
          <w:lang w:val="en-US"/>
        </w:rPr>
      </w:pPr>
      <w:r w:rsidRPr="00AE6DEE">
        <w:rPr>
          <w:rFonts w:eastAsia="Calibri" w:cs="Calibri"/>
          <w:i/>
          <w:sz w:val="24"/>
          <w:szCs w:val="24"/>
        </w:rPr>
        <w:t>Разходите за външни услуги</w:t>
      </w:r>
      <w:r>
        <w:rPr>
          <w:rFonts w:eastAsia="Calibri" w:cs="Calibri"/>
          <w:sz w:val="24"/>
          <w:szCs w:val="24"/>
        </w:rPr>
        <w:t xml:space="preserve"> заемат </w:t>
      </w:r>
      <w:r w:rsidR="00F25615">
        <w:rPr>
          <w:rFonts w:eastAsia="Calibri" w:cs="Calibri"/>
          <w:sz w:val="24"/>
          <w:szCs w:val="24"/>
        </w:rPr>
        <w:t>24</w:t>
      </w:r>
      <w:r>
        <w:rPr>
          <w:rFonts w:eastAsia="Calibri" w:cs="Calibri"/>
          <w:sz w:val="24"/>
          <w:szCs w:val="24"/>
        </w:rPr>
        <w:t>% относителен дял от разходите за дейността и  се увеличават</w:t>
      </w:r>
      <w:r w:rsidRPr="00AE6DEE">
        <w:rPr>
          <w:rFonts w:eastAsia="Calibri" w:cs="Calibri"/>
          <w:sz w:val="24"/>
          <w:szCs w:val="24"/>
        </w:rPr>
        <w:t xml:space="preserve"> с</w:t>
      </w:r>
      <w:r>
        <w:rPr>
          <w:rFonts w:eastAsia="Calibri" w:cs="Calibri"/>
          <w:sz w:val="24"/>
          <w:szCs w:val="24"/>
          <w:lang w:val="en-US"/>
        </w:rPr>
        <w:t xml:space="preserve"> </w:t>
      </w:r>
      <w:r w:rsidR="00F25615">
        <w:rPr>
          <w:rFonts w:eastAsia="Calibri" w:cs="Calibri"/>
          <w:sz w:val="24"/>
          <w:szCs w:val="24"/>
        </w:rPr>
        <w:t>2,4</w:t>
      </w:r>
      <w:r w:rsidRPr="00AE6DEE">
        <w:rPr>
          <w:rFonts w:eastAsia="Calibri" w:cs="Calibri"/>
          <w:sz w:val="24"/>
          <w:szCs w:val="24"/>
        </w:rPr>
        <w:t xml:space="preserve"> млн. лв. </w:t>
      </w:r>
      <w:r>
        <w:rPr>
          <w:rFonts w:eastAsia="Calibri" w:cs="Calibri"/>
          <w:sz w:val="24"/>
          <w:szCs w:val="24"/>
        </w:rPr>
        <w:t xml:space="preserve">или с 16% до </w:t>
      </w:r>
      <w:r w:rsidR="00F25615">
        <w:rPr>
          <w:rFonts w:eastAsia="Calibri" w:cs="Calibri"/>
          <w:sz w:val="24"/>
          <w:szCs w:val="24"/>
        </w:rPr>
        <w:t>17,3</w:t>
      </w:r>
      <w:r>
        <w:rPr>
          <w:rFonts w:eastAsia="Calibri" w:cs="Calibri"/>
          <w:sz w:val="24"/>
          <w:szCs w:val="24"/>
        </w:rPr>
        <w:t xml:space="preserve"> млн. лв. през първо </w:t>
      </w:r>
      <w:r w:rsidR="00F25615">
        <w:rPr>
          <w:rFonts w:eastAsia="Calibri" w:cs="Calibri"/>
          <w:sz w:val="24"/>
          <w:szCs w:val="24"/>
        </w:rPr>
        <w:t xml:space="preserve">полугодие </w:t>
      </w:r>
      <w:r>
        <w:rPr>
          <w:rFonts w:eastAsia="Calibri" w:cs="Calibri"/>
          <w:sz w:val="24"/>
          <w:szCs w:val="24"/>
        </w:rPr>
        <w:t xml:space="preserve">2017 г. спрямо </w:t>
      </w:r>
      <w:r w:rsidR="00F25615">
        <w:rPr>
          <w:rFonts w:eastAsia="Calibri" w:cs="Calibri"/>
          <w:sz w:val="24"/>
          <w:szCs w:val="24"/>
        </w:rPr>
        <w:t xml:space="preserve">14,9 </w:t>
      </w:r>
      <w:r>
        <w:rPr>
          <w:rFonts w:eastAsia="Calibri" w:cs="Calibri"/>
          <w:sz w:val="24"/>
          <w:szCs w:val="24"/>
        </w:rPr>
        <w:t xml:space="preserve">млн. лв. през първо </w:t>
      </w:r>
      <w:r w:rsidR="00F25615">
        <w:rPr>
          <w:rFonts w:eastAsia="Calibri" w:cs="Calibri"/>
          <w:sz w:val="24"/>
          <w:szCs w:val="24"/>
        </w:rPr>
        <w:t xml:space="preserve">полугодие </w:t>
      </w:r>
      <w:r>
        <w:rPr>
          <w:rFonts w:eastAsia="Calibri" w:cs="Calibri"/>
          <w:sz w:val="24"/>
          <w:szCs w:val="24"/>
        </w:rPr>
        <w:t xml:space="preserve">2016 г. Най-съществено влияние оказва увеличението на разходите за изработка на медикаменти с </w:t>
      </w:r>
      <w:r w:rsidR="00F25615">
        <w:rPr>
          <w:rFonts w:eastAsia="Calibri" w:cs="Calibri"/>
          <w:sz w:val="24"/>
          <w:szCs w:val="24"/>
        </w:rPr>
        <w:t>1,1</w:t>
      </w:r>
      <w:r>
        <w:rPr>
          <w:rFonts w:eastAsia="Calibri" w:cs="Calibri"/>
          <w:sz w:val="24"/>
          <w:szCs w:val="24"/>
        </w:rPr>
        <w:t xml:space="preserve"> млн. лв., </w:t>
      </w:r>
      <w:r w:rsidR="002C2EB7">
        <w:rPr>
          <w:rFonts w:eastAsia="Calibri" w:cs="Calibri"/>
          <w:sz w:val="24"/>
          <w:szCs w:val="24"/>
        </w:rPr>
        <w:t xml:space="preserve">разходите за поддръжка на сгради и оборудване с 0,3 млн. лв., </w:t>
      </w:r>
      <w:r>
        <w:rPr>
          <w:rFonts w:eastAsia="Calibri" w:cs="Calibri"/>
          <w:sz w:val="24"/>
          <w:szCs w:val="24"/>
        </w:rPr>
        <w:t xml:space="preserve">разходите за консултантски </w:t>
      </w:r>
      <w:r w:rsidRPr="00AE6DEE">
        <w:rPr>
          <w:rFonts w:eastAsia="Calibri" w:cs="Calibri"/>
          <w:sz w:val="24"/>
          <w:szCs w:val="24"/>
        </w:rPr>
        <w:t>услуги</w:t>
      </w:r>
      <w:r>
        <w:rPr>
          <w:rFonts w:eastAsia="Calibri" w:cs="Calibri"/>
          <w:sz w:val="24"/>
          <w:szCs w:val="24"/>
        </w:rPr>
        <w:t xml:space="preserve"> с 0,3 млн.</w:t>
      </w:r>
      <w:r w:rsidRPr="00EC0C5B">
        <w:rPr>
          <w:rFonts w:eastAsia="Calibri" w:cs="Calibri"/>
          <w:sz w:val="24"/>
          <w:szCs w:val="24"/>
          <w:lang w:val="ru-RU"/>
        </w:rPr>
        <w:t xml:space="preserve"> </w:t>
      </w:r>
      <w:r>
        <w:rPr>
          <w:rFonts w:eastAsia="Calibri" w:cs="Calibri"/>
          <w:sz w:val="24"/>
          <w:szCs w:val="24"/>
        </w:rPr>
        <w:t xml:space="preserve">лв. и разходите за транспорт с </w:t>
      </w:r>
      <w:r w:rsidR="00F25615">
        <w:rPr>
          <w:rFonts w:eastAsia="Calibri" w:cs="Calibri"/>
          <w:sz w:val="24"/>
          <w:szCs w:val="24"/>
        </w:rPr>
        <w:t>0,4</w:t>
      </w:r>
      <w:r>
        <w:rPr>
          <w:rFonts w:eastAsia="Calibri" w:cs="Calibri"/>
          <w:sz w:val="24"/>
          <w:szCs w:val="24"/>
        </w:rPr>
        <w:t xml:space="preserve"> млн. лв.</w:t>
      </w:r>
    </w:p>
    <w:p w:rsidR="00F80195" w:rsidRDefault="00F80195" w:rsidP="00F80195">
      <w:pPr>
        <w:spacing w:after="0" w:line="240" w:lineRule="auto"/>
        <w:jc w:val="both"/>
        <w:rPr>
          <w:rFonts w:eastAsia="Calibri" w:cs="Calibri"/>
          <w:sz w:val="24"/>
          <w:szCs w:val="24"/>
        </w:rPr>
      </w:pPr>
      <w:r w:rsidRPr="00AE6DEE">
        <w:rPr>
          <w:rFonts w:eastAsia="Calibri" w:cs="Calibri"/>
          <w:i/>
          <w:sz w:val="24"/>
          <w:szCs w:val="24"/>
        </w:rPr>
        <w:t>Разходите за персонал</w:t>
      </w:r>
      <w:r>
        <w:rPr>
          <w:rFonts w:eastAsia="Calibri" w:cs="Calibri"/>
          <w:sz w:val="24"/>
          <w:szCs w:val="24"/>
        </w:rPr>
        <w:t xml:space="preserve"> </w:t>
      </w:r>
      <w:r>
        <w:rPr>
          <w:rFonts w:eastAsia="Calibri" w:cs="Calibri"/>
          <w:sz w:val="24"/>
          <w:szCs w:val="24"/>
          <w:u w:val="single"/>
        </w:rPr>
        <w:t>(</w:t>
      </w:r>
      <w:r>
        <w:rPr>
          <w:rFonts w:eastAsia="Calibri" w:cs="Calibri"/>
          <w:sz w:val="24"/>
          <w:szCs w:val="24"/>
        </w:rPr>
        <w:t xml:space="preserve">с относителен дял </w:t>
      </w:r>
      <w:r w:rsidR="002C2EB7">
        <w:rPr>
          <w:rFonts w:eastAsia="Calibri" w:cs="Calibri"/>
          <w:sz w:val="24"/>
          <w:szCs w:val="24"/>
        </w:rPr>
        <w:t>28</w:t>
      </w:r>
      <w:r>
        <w:rPr>
          <w:rFonts w:eastAsia="Calibri" w:cs="Calibri"/>
          <w:sz w:val="24"/>
          <w:szCs w:val="24"/>
        </w:rPr>
        <w:t xml:space="preserve">% от разходите за дейността) се увеличават с </w:t>
      </w:r>
      <w:r w:rsidR="002C2EB7">
        <w:rPr>
          <w:rFonts w:eastAsia="Calibri" w:cs="Calibri"/>
          <w:sz w:val="24"/>
          <w:szCs w:val="24"/>
        </w:rPr>
        <w:t>1</w:t>
      </w:r>
      <w:r>
        <w:rPr>
          <w:rFonts w:eastAsia="Calibri" w:cs="Calibri"/>
          <w:sz w:val="24"/>
          <w:szCs w:val="24"/>
        </w:rPr>
        <w:t xml:space="preserve">,5 млн. лв. или с </w:t>
      </w:r>
      <w:r w:rsidR="002C2EB7">
        <w:rPr>
          <w:rFonts w:eastAsia="Calibri" w:cs="Calibri"/>
          <w:sz w:val="24"/>
          <w:szCs w:val="24"/>
        </w:rPr>
        <w:t>8</w:t>
      </w:r>
      <w:r>
        <w:rPr>
          <w:rFonts w:eastAsia="Calibri" w:cs="Calibri"/>
          <w:sz w:val="24"/>
          <w:szCs w:val="24"/>
        </w:rPr>
        <w:t xml:space="preserve">% от </w:t>
      </w:r>
      <w:r w:rsidR="002C2EB7">
        <w:rPr>
          <w:rFonts w:eastAsia="Calibri" w:cs="Calibri"/>
          <w:sz w:val="24"/>
          <w:szCs w:val="24"/>
        </w:rPr>
        <w:t>18,2</w:t>
      </w:r>
      <w:r>
        <w:rPr>
          <w:rFonts w:eastAsia="Calibri" w:cs="Calibri"/>
          <w:sz w:val="24"/>
          <w:szCs w:val="24"/>
        </w:rPr>
        <w:t xml:space="preserve"> млн. лв. през първо </w:t>
      </w:r>
      <w:r w:rsidR="002C2EB7">
        <w:rPr>
          <w:rFonts w:eastAsia="Calibri" w:cs="Calibri"/>
          <w:sz w:val="24"/>
          <w:szCs w:val="24"/>
        </w:rPr>
        <w:t xml:space="preserve">полугодие </w:t>
      </w:r>
      <w:r>
        <w:rPr>
          <w:rFonts w:eastAsia="Calibri" w:cs="Calibri"/>
          <w:sz w:val="24"/>
          <w:szCs w:val="24"/>
        </w:rPr>
        <w:t xml:space="preserve">2016 г. до </w:t>
      </w:r>
      <w:r w:rsidR="002C2EB7">
        <w:rPr>
          <w:rFonts w:eastAsia="Calibri" w:cs="Calibri"/>
          <w:sz w:val="24"/>
          <w:szCs w:val="24"/>
        </w:rPr>
        <w:t>19,8</w:t>
      </w:r>
      <w:r>
        <w:rPr>
          <w:rFonts w:eastAsia="Calibri" w:cs="Calibri"/>
          <w:sz w:val="24"/>
          <w:szCs w:val="24"/>
        </w:rPr>
        <w:t xml:space="preserve"> млн. лв. през първо </w:t>
      </w:r>
      <w:r w:rsidR="002C2EB7">
        <w:rPr>
          <w:rFonts w:eastAsia="Calibri" w:cs="Calibri"/>
          <w:sz w:val="24"/>
          <w:szCs w:val="24"/>
        </w:rPr>
        <w:t xml:space="preserve">полугодие </w:t>
      </w:r>
      <w:r>
        <w:rPr>
          <w:rFonts w:eastAsia="Calibri" w:cs="Calibri"/>
          <w:sz w:val="24"/>
          <w:szCs w:val="24"/>
        </w:rPr>
        <w:t>2017 г.</w:t>
      </w:r>
      <w:r w:rsidR="002C2EB7">
        <w:rPr>
          <w:rFonts w:eastAsia="Calibri" w:cs="Calibri"/>
          <w:sz w:val="24"/>
          <w:szCs w:val="24"/>
        </w:rPr>
        <w:t>, поради увеличение на текущите възнаграждения с 1,1 млн. лв.</w:t>
      </w:r>
      <w:r>
        <w:rPr>
          <w:rFonts w:eastAsia="Calibri" w:cs="Calibri"/>
          <w:sz w:val="24"/>
          <w:szCs w:val="24"/>
        </w:rPr>
        <w:t xml:space="preserve">  </w:t>
      </w:r>
      <w:r w:rsidRPr="00E34D9B">
        <w:rPr>
          <w:sz w:val="24"/>
          <w:szCs w:val="24"/>
        </w:rPr>
        <w:t xml:space="preserve"> </w:t>
      </w:r>
    </w:p>
    <w:p w:rsidR="00F80195" w:rsidRDefault="00F80195" w:rsidP="00F80195">
      <w:pPr>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Други разходи за дей</w:t>
      </w:r>
      <w:r>
        <w:rPr>
          <w:rFonts w:eastAsia="Calibri" w:cs="Calibri"/>
          <w:i/>
          <w:sz w:val="24"/>
          <w:szCs w:val="24"/>
        </w:rPr>
        <w:t>ността</w:t>
      </w:r>
      <w:r>
        <w:rPr>
          <w:rFonts w:eastAsia="Calibri" w:cs="Calibri"/>
          <w:sz w:val="24"/>
          <w:szCs w:val="24"/>
        </w:rPr>
        <w:t xml:space="preserve"> (с относителен дял </w:t>
      </w:r>
      <w:r w:rsidR="002C2EB7">
        <w:rPr>
          <w:rFonts w:eastAsia="Calibri" w:cs="Calibri"/>
          <w:sz w:val="24"/>
          <w:szCs w:val="24"/>
        </w:rPr>
        <w:t>1</w:t>
      </w:r>
      <w:r>
        <w:rPr>
          <w:rFonts w:eastAsia="Calibri" w:cs="Calibri"/>
          <w:sz w:val="24"/>
          <w:szCs w:val="24"/>
        </w:rPr>
        <w:t xml:space="preserve">% от разходите за дейността) </w:t>
      </w:r>
      <w:r w:rsidRPr="00036202">
        <w:rPr>
          <w:rFonts w:eastAsia="Calibri" w:cs="Calibri"/>
          <w:sz w:val="24"/>
          <w:szCs w:val="24"/>
        </w:rPr>
        <w:t xml:space="preserve"> </w:t>
      </w:r>
      <w:r w:rsidR="002C2EB7">
        <w:rPr>
          <w:rFonts w:eastAsia="Calibri" w:cs="Calibri"/>
          <w:sz w:val="24"/>
          <w:szCs w:val="24"/>
        </w:rPr>
        <w:t xml:space="preserve">намаляват с 0,3 млн. лв. </w:t>
      </w:r>
      <w:r>
        <w:rPr>
          <w:rFonts w:eastAsia="Calibri" w:cs="Calibri"/>
          <w:sz w:val="24"/>
          <w:szCs w:val="24"/>
        </w:rPr>
        <w:t xml:space="preserve">през първо </w:t>
      </w:r>
      <w:r w:rsidR="002C2EB7">
        <w:rPr>
          <w:rFonts w:eastAsia="Calibri" w:cs="Calibri"/>
          <w:sz w:val="24"/>
          <w:szCs w:val="24"/>
        </w:rPr>
        <w:t>полугодие</w:t>
      </w:r>
      <w:r>
        <w:rPr>
          <w:rFonts w:eastAsia="Calibri" w:cs="Calibri"/>
          <w:sz w:val="24"/>
          <w:szCs w:val="24"/>
        </w:rPr>
        <w:t xml:space="preserve"> 2017 г. спрямо първо </w:t>
      </w:r>
      <w:r w:rsidR="002C2EB7">
        <w:rPr>
          <w:rFonts w:eastAsia="Calibri" w:cs="Calibri"/>
          <w:sz w:val="24"/>
          <w:szCs w:val="24"/>
        </w:rPr>
        <w:t xml:space="preserve">полугодие </w:t>
      </w:r>
      <w:r>
        <w:rPr>
          <w:rFonts w:eastAsia="Calibri" w:cs="Calibri"/>
          <w:sz w:val="24"/>
          <w:szCs w:val="24"/>
        </w:rPr>
        <w:t>2016 г.</w:t>
      </w:r>
    </w:p>
    <w:p w:rsidR="00F80195" w:rsidRPr="00AE6DEE" w:rsidRDefault="00F80195" w:rsidP="00F80195">
      <w:pPr>
        <w:tabs>
          <w:tab w:val="left" w:pos="9214"/>
        </w:tabs>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Разходите за амортизация</w:t>
      </w:r>
      <w:r>
        <w:rPr>
          <w:rFonts w:eastAsia="Calibri" w:cs="Calibri"/>
          <w:sz w:val="24"/>
          <w:szCs w:val="24"/>
        </w:rPr>
        <w:t xml:space="preserve"> (с относителен дял </w:t>
      </w:r>
      <w:r w:rsidR="002C2EB7">
        <w:rPr>
          <w:rFonts w:eastAsia="Calibri" w:cs="Calibri"/>
          <w:sz w:val="24"/>
          <w:szCs w:val="24"/>
        </w:rPr>
        <w:t xml:space="preserve">10 </w:t>
      </w:r>
      <w:r>
        <w:rPr>
          <w:rFonts w:eastAsia="Calibri" w:cs="Calibri"/>
          <w:sz w:val="24"/>
          <w:szCs w:val="24"/>
        </w:rPr>
        <w:t xml:space="preserve">% от разходите за дейността) </w:t>
      </w:r>
      <w:r w:rsidRPr="00AE6DEE">
        <w:rPr>
          <w:rFonts w:eastAsia="Calibri" w:cs="Calibri"/>
          <w:sz w:val="24"/>
          <w:szCs w:val="24"/>
        </w:rPr>
        <w:t xml:space="preserve">регистрират </w:t>
      </w:r>
      <w:r>
        <w:rPr>
          <w:rFonts w:eastAsia="Calibri" w:cs="Calibri"/>
          <w:sz w:val="24"/>
          <w:szCs w:val="24"/>
        </w:rPr>
        <w:t>увеличение</w:t>
      </w:r>
      <w:r w:rsidRPr="00AE6DEE">
        <w:rPr>
          <w:rFonts w:eastAsia="Calibri" w:cs="Calibri"/>
          <w:sz w:val="24"/>
          <w:szCs w:val="24"/>
        </w:rPr>
        <w:t xml:space="preserve"> с </w:t>
      </w:r>
      <w:r w:rsidR="002C2EB7">
        <w:rPr>
          <w:rFonts w:eastAsia="Calibri" w:cs="Calibri"/>
          <w:sz w:val="24"/>
          <w:szCs w:val="24"/>
        </w:rPr>
        <w:t>0,3</w:t>
      </w:r>
      <w:r>
        <w:rPr>
          <w:rFonts w:eastAsia="Calibri" w:cs="Calibri"/>
          <w:sz w:val="24"/>
          <w:szCs w:val="24"/>
        </w:rPr>
        <w:t xml:space="preserve"> млн. лв. или с </w:t>
      </w:r>
      <w:r w:rsidR="002C2EB7">
        <w:rPr>
          <w:rFonts w:eastAsia="Calibri" w:cs="Calibri"/>
          <w:sz w:val="24"/>
          <w:szCs w:val="24"/>
        </w:rPr>
        <w:t>5</w:t>
      </w:r>
      <w:r>
        <w:rPr>
          <w:rFonts w:eastAsia="Calibri" w:cs="Calibri"/>
          <w:sz w:val="24"/>
          <w:szCs w:val="24"/>
        </w:rPr>
        <w:t xml:space="preserve">% от </w:t>
      </w:r>
      <w:r w:rsidR="002C2EB7">
        <w:rPr>
          <w:rFonts w:eastAsia="Calibri" w:cs="Calibri"/>
          <w:sz w:val="24"/>
          <w:szCs w:val="24"/>
        </w:rPr>
        <w:t>7</w:t>
      </w:r>
      <w:r>
        <w:rPr>
          <w:rFonts w:eastAsia="Calibri" w:cs="Calibri"/>
          <w:sz w:val="24"/>
          <w:szCs w:val="24"/>
        </w:rPr>
        <w:t xml:space="preserve"> млн. лв. през първо </w:t>
      </w:r>
      <w:r w:rsidR="002C2EB7">
        <w:rPr>
          <w:rFonts w:eastAsia="Calibri" w:cs="Calibri"/>
          <w:sz w:val="24"/>
          <w:szCs w:val="24"/>
        </w:rPr>
        <w:t xml:space="preserve">полугодие </w:t>
      </w:r>
      <w:r>
        <w:rPr>
          <w:rFonts w:eastAsia="Calibri" w:cs="Calibri"/>
          <w:sz w:val="24"/>
          <w:szCs w:val="24"/>
        </w:rPr>
        <w:t>на 2016</w:t>
      </w:r>
      <w:r w:rsidRPr="00EC0C5B">
        <w:rPr>
          <w:rFonts w:eastAsia="Calibri" w:cs="Calibri"/>
          <w:sz w:val="24"/>
          <w:szCs w:val="24"/>
          <w:lang w:val="ru-RU"/>
        </w:rPr>
        <w:t xml:space="preserve"> </w:t>
      </w:r>
      <w:r>
        <w:rPr>
          <w:rFonts w:eastAsia="Calibri" w:cs="Calibri"/>
          <w:sz w:val="24"/>
          <w:szCs w:val="24"/>
        </w:rPr>
        <w:t xml:space="preserve">г. до </w:t>
      </w:r>
      <w:r w:rsidR="002C2EB7">
        <w:rPr>
          <w:rFonts w:eastAsia="Calibri" w:cs="Calibri"/>
          <w:sz w:val="24"/>
          <w:szCs w:val="24"/>
        </w:rPr>
        <w:t>7,3</w:t>
      </w:r>
      <w:r>
        <w:rPr>
          <w:rFonts w:eastAsia="Calibri" w:cs="Calibri"/>
          <w:sz w:val="24"/>
          <w:szCs w:val="24"/>
        </w:rPr>
        <w:t xml:space="preserve"> млн. лв. през първо </w:t>
      </w:r>
      <w:r w:rsidR="002C2EB7">
        <w:rPr>
          <w:rFonts w:eastAsia="Calibri" w:cs="Calibri"/>
          <w:sz w:val="24"/>
          <w:szCs w:val="24"/>
        </w:rPr>
        <w:t xml:space="preserve">полугодие </w:t>
      </w:r>
      <w:r>
        <w:rPr>
          <w:rFonts w:eastAsia="Calibri" w:cs="Calibri"/>
          <w:sz w:val="24"/>
          <w:szCs w:val="24"/>
        </w:rPr>
        <w:t xml:space="preserve">2017  г. </w:t>
      </w:r>
    </w:p>
    <w:p w:rsidR="00F80195" w:rsidRPr="005E1F21" w:rsidRDefault="00F80195" w:rsidP="00F80195">
      <w:pPr>
        <w:tabs>
          <w:tab w:val="left" w:pos="9214"/>
        </w:tabs>
        <w:suppressAutoHyphens/>
        <w:autoSpaceDN w:val="0"/>
        <w:spacing w:before="40" w:after="40" w:line="240" w:lineRule="auto"/>
        <w:jc w:val="both"/>
        <w:textAlignment w:val="baseline"/>
        <w:rPr>
          <w:rFonts w:eastAsia="Calibri" w:cs="Calibri"/>
          <w:sz w:val="24"/>
          <w:szCs w:val="24"/>
        </w:rPr>
      </w:pPr>
      <w:r>
        <w:rPr>
          <w:rFonts w:eastAsia="Calibri" w:cs="Calibri"/>
          <w:i/>
          <w:sz w:val="24"/>
          <w:szCs w:val="24"/>
        </w:rPr>
        <w:t xml:space="preserve">Промените в запасите от готова продукция и незавършено производство </w:t>
      </w:r>
      <w:r w:rsidRPr="00851262">
        <w:rPr>
          <w:rFonts w:eastAsia="Calibri" w:cs="Calibri"/>
          <w:sz w:val="24"/>
          <w:szCs w:val="24"/>
        </w:rPr>
        <w:t xml:space="preserve">влияят в посока на </w:t>
      </w:r>
      <w:r w:rsidR="00FF4FB3">
        <w:rPr>
          <w:rFonts w:eastAsia="Calibri" w:cs="Calibri"/>
          <w:sz w:val="24"/>
          <w:szCs w:val="24"/>
        </w:rPr>
        <w:t xml:space="preserve">намаление </w:t>
      </w:r>
      <w:r>
        <w:rPr>
          <w:rFonts w:eastAsia="Calibri" w:cs="Calibri"/>
          <w:sz w:val="24"/>
          <w:szCs w:val="24"/>
        </w:rPr>
        <w:t xml:space="preserve">на разходите за дейността с </w:t>
      </w:r>
      <w:r w:rsidR="00FF4FB3">
        <w:rPr>
          <w:rFonts w:eastAsia="Calibri" w:cs="Calibri"/>
          <w:sz w:val="24"/>
          <w:szCs w:val="24"/>
        </w:rPr>
        <w:t xml:space="preserve">1,8 </w:t>
      </w:r>
      <w:r>
        <w:rPr>
          <w:rFonts w:eastAsia="Calibri" w:cs="Calibri"/>
          <w:sz w:val="24"/>
          <w:szCs w:val="24"/>
        </w:rPr>
        <w:t>млн.</w:t>
      </w:r>
      <w:r w:rsidRPr="00EC0C5B">
        <w:rPr>
          <w:rFonts w:eastAsia="Calibri" w:cs="Calibri"/>
          <w:sz w:val="24"/>
          <w:szCs w:val="24"/>
          <w:lang w:val="ru-RU"/>
        </w:rPr>
        <w:t xml:space="preserve"> </w:t>
      </w:r>
      <w:r>
        <w:rPr>
          <w:rFonts w:eastAsia="Calibri" w:cs="Calibri"/>
          <w:sz w:val="24"/>
          <w:szCs w:val="24"/>
        </w:rPr>
        <w:t>лв.</w:t>
      </w:r>
    </w:p>
    <w:p w:rsidR="007B205E" w:rsidRDefault="007B205E" w:rsidP="00F80195">
      <w:pPr>
        <w:suppressAutoHyphens/>
        <w:autoSpaceDN w:val="0"/>
        <w:spacing w:before="40" w:after="40" w:line="240" w:lineRule="auto"/>
        <w:jc w:val="both"/>
        <w:textAlignment w:val="baseline"/>
        <w:rPr>
          <w:rFonts w:eastAsia="Calibri" w:cs="Calibri"/>
          <w:i/>
          <w:color w:val="1F497D"/>
          <w:sz w:val="24"/>
          <w:szCs w:val="24"/>
        </w:rPr>
      </w:pPr>
    </w:p>
    <w:p w:rsidR="007B205E" w:rsidRDefault="007B205E" w:rsidP="00F80195">
      <w:pPr>
        <w:suppressAutoHyphens/>
        <w:autoSpaceDN w:val="0"/>
        <w:spacing w:before="40" w:after="40" w:line="240" w:lineRule="auto"/>
        <w:jc w:val="both"/>
        <w:textAlignment w:val="baseline"/>
        <w:rPr>
          <w:rFonts w:eastAsia="Calibri" w:cs="Calibri"/>
          <w:i/>
          <w:color w:val="1F497D"/>
          <w:sz w:val="24"/>
          <w:szCs w:val="24"/>
        </w:rPr>
      </w:pPr>
    </w:p>
    <w:p w:rsidR="00F80195" w:rsidRPr="00CC5D38" w:rsidRDefault="00F80195" w:rsidP="00F80195">
      <w:pPr>
        <w:suppressAutoHyphens/>
        <w:autoSpaceDN w:val="0"/>
        <w:spacing w:before="40" w:after="40" w:line="240" w:lineRule="auto"/>
        <w:jc w:val="both"/>
        <w:textAlignment w:val="baseline"/>
        <w:rPr>
          <w:rFonts w:eastAsia="Calibri" w:cs="Calibri"/>
          <w:i/>
          <w:color w:val="1F497D"/>
          <w:sz w:val="24"/>
          <w:szCs w:val="24"/>
        </w:rPr>
      </w:pPr>
      <w:r w:rsidRPr="00CC5D38">
        <w:rPr>
          <w:rFonts w:eastAsia="Calibri" w:cs="Calibri"/>
          <w:i/>
          <w:color w:val="1F497D"/>
          <w:sz w:val="24"/>
          <w:szCs w:val="24"/>
        </w:rPr>
        <w:t>Финансови приходи и разходи</w:t>
      </w:r>
    </w:p>
    <w:p w:rsidR="00103670" w:rsidRDefault="00103670" w:rsidP="00F80195">
      <w:pPr>
        <w:suppressAutoHyphens/>
        <w:autoSpaceDN w:val="0"/>
        <w:spacing w:before="40" w:after="40" w:line="240" w:lineRule="auto"/>
        <w:jc w:val="both"/>
        <w:textAlignment w:val="baseline"/>
        <w:rPr>
          <w:rFonts w:eastAsia="Calibri" w:cs="Calibri"/>
          <w:sz w:val="24"/>
          <w:szCs w:val="24"/>
        </w:rPr>
      </w:pPr>
    </w:p>
    <w:tbl>
      <w:tblPr>
        <w:tblW w:w="9351" w:type="dxa"/>
        <w:tblInd w:w="70" w:type="dxa"/>
        <w:tblCellMar>
          <w:left w:w="70" w:type="dxa"/>
          <w:right w:w="70" w:type="dxa"/>
        </w:tblCellMar>
        <w:tblLook w:val="04A0" w:firstRow="1" w:lastRow="0" w:firstColumn="1" w:lastColumn="0" w:noHBand="0" w:noVBand="1"/>
      </w:tblPr>
      <w:tblGrid>
        <w:gridCol w:w="4820"/>
        <w:gridCol w:w="1134"/>
        <w:gridCol w:w="1134"/>
        <w:gridCol w:w="1175"/>
        <w:gridCol w:w="1088"/>
      </w:tblGrid>
      <w:tr w:rsidR="00103670" w:rsidRPr="00103670" w:rsidTr="00893A2E">
        <w:trPr>
          <w:trHeight w:val="784"/>
        </w:trPr>
        <w:tc>
          <w:tcPr>
            <w:tcW w:w="4820" w:type="dxa"/>
            <w:vMerge w:val="restart"/>
            <w:tcBorders>
              <w:top w:val="nil"/>
              <w:left w:val="nil"/>
              <w:bottom w:val="nil"/>
              <w:right w:val="nil"/>
            </w:tcBorders>
            <w:shd w:val="clear" w:color="auto" w:fill="auto"/>
            <w:noWrap/>
            <w:vAlign w:val="bottom"/>
            <w:hideMark/>
          </w:tcPr>
          <w:p w:rsidR="00103670" w:rsidRPr="00103670" w:rsidRDefault="00103670" w:rsidP="00103670">
            <w:pPr>
              <w:spacing w:after="0" w:line="240" w:lineRule="auto"/>
              <w:jc w:val="center"/>
              <w:rPr>
                <w:rFonts w:eastAsia="Times New Roman" w:cs="Arial"/>
                <w:b/>
                <w:bCs/>
                <w:sz w:val="20"/>
                <w:szCs w:val="20"/>
              </w:rPr>
            </w:pPr>
            <w:r w:rsidRPr="00103670">
              <w:rPr>
                <w:rFonts w:eastAsia="Times New Roman" w:cs="Arial"/>
                <w:b/>
                <w:bCs/>
                <w:sz w:val="20"/>
                <w:szCs w:val="20"/>
              </w:rPr>
              <w:t>Финансови приходи</w:t>
            </w:r>
          </w:p>
        </w:tc>
        <w:tc>
          <w:tcPr>
            <w:tcW w:w="1134" w:type="dxa"/>
            <w:tcBorders>
              <w:top w:val="nil"/>
              <w:left w:val="nil"/>
              <w:bottom w:val="nil"/>
              <w:right w:val="nil"/>
            </w:tcBorders>
            <w:shd w:val="clear" w:color="000000" w:fill="DCE6F1"/>
            <w:noWrap/>
            <w:vAlign w:val="bottom"/>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1-6/2017</w:t>
            </w:r>
          </w:p>
        </w:tc>
        <w:tc>
          <w:tcPr>
            <w:tcW w:w="1134" w:type="dxa"/>
            <w:tcBorders>
              <w:top w:val="nil"/>
              <w:left w:val="nil"/>
              <w:bottom w:val="nil"/>
              <w:right w:val="nil"/>
            </w:tcBorders>
            <w:shd w:val="clear" w:color="000000" w:fill="C5D9F1"/>
            <w:noWrap/>
            <w:vAlign w:val="bottom"/>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1-6/2016</w:t>
            </w:r>
          </w:p>
        </w:tc>
        <w:tc>
          <w:tcPr>
            <w:tcW w:w="1175" w:type="dxa"/>
            <w:tcBorders>
              <w:top w:val="nil"/>
              <w:left w:val="nil"/>
              <w:bottom w:val="nil"/>
              <w:right w:val="nil"/>
            </w:tcBorders>
            <w:shd w:val="clear" w:color="auto" w:fill="auto"/>
            <w:noWrap/>
            <w:vAlign w:val="center"/>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промяна</w:t>
            </w:r>
          </w:p>
        </w:tc>
        <w:tc>
          <w:tcPr>
            <w:tcW w:w="1088" w:type="dxa"/>
            <w:tcBorders>
              <w:top w:val="nil"/>
              <w:left w:val="nil"/>
              <w:bottom w:val="nil"/>
              <w:right w:val="nil"/>
            </w:tcBorders>
            <w:shd w:val="clear" w:color="auto" w:fill="auto"/>
            <w:vAlign w:val="center"/>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отн.</w:t>
            </w:r>
            <w:r w:rsidR="00C13AE1">
              <w:rPr>
                <w:rFonts w:eastAsia="Times New Roman" w:cs="Arial"/>
                <w:b/>
                <w:bCs/>
                <w:sz w:val="20"/>
                <w:szCs w:val="20"/>
              </w:rPr>
              <w:t xml:space="preserve"> </w:t>
            </w:r>
            <w:r w:rsidRPr="00103670">
              <w:rPr>
                <w:rFonts w:eastAsia="Times New Roman" w:cs="Arial"/>
                <w:b/>
                <w:bCs/>
                <w:sz w:val="20"/>
                <w:szCs w:val="20"/>
              </w:rPr>
              <w:t>дял на приходите за 2017</w:t>
            </w:r>
          </w:p>
        </w:tc>
      </w:tr>
      <w:tr w:rsidR="00103670" w:rsidRPr="00103670" w:rsidTr="00893A2E">
        <w:trPr>
          <w:trHeight w:val="241"/>
        </w:trPr>
        <w:tc>
          <w:tcPr>
            <w:tcW w:w="4820" w:type="dxa"/>
            <w:vMerge/>
            <w:tcBorders>
              <w:top w:val="nil"/>
              <w:left w:val="nil"/>
              <w:bottom w:val="nil"/>
              <w:right w:val="nil"/>
            </w:tcBorders>
            <w:vAlign w:val="center"/>
            <w:hideMark/>
          </w:tcPr>
          <w:p w:rsidR="00103670" w:rsidRPr="00103670" w:rsidRDefault="00103670" w:rsidP="00103670">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b/>
                <w:bCs/>
                <w:i/>
                <w:iCs/>
                <w:sz w:val="20"/>
                <w:szCs w:val="20"/>
              </w:rPr>
            </w:pPr>
            <w:r w:rsidRPr="00103670">
              <w:rPr>
                <w:rFonts w:eastAsia="Times New Roman" w:cs="Arial"/>
                <w:b/>
                <w:bCs/>
                <w:i/>
                <w:iCs/>
                <w:sz w:val="20"/>
                <w:szCs w:val="20"/>
              </w:rPr>
              <w:t>BGN '000</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b/>
                <w:bCs/>
                <w:i/>
                <w:iCs/>
                <w:sz w:val="20"/>
                <w:szCs w:val="20"/>
              </w:rPr>
            </w:pPr>
            <w:r w:rsidRPr="00103670">
              <w:rPr>
                <w:rFonts w:eastAsia="Times New Roman" w:cs="Arial"/>
                <w:b/>
                <w:bCs/>
                <w:i/>
                <w:iCs/>
                <w:sz w:val="20"/>
                <w:szCs w:val="20"/>
              </w:rPr>
              <w:t>BGN '000</w:t>
            </w:r>
          </w:p>
        </w:tc>
        <w:tc>
          <w:tcPr>
            <w:tcW w:w="1175" w:type="dxa"/>
            <w:tcBorders>
              <w:top w:val="nil"/>
              <w:left w:val="nil"/>
              <w:bottom w:val="nil"/>
              <w:right w:val="nil"/>
            </w:tcBorders>
            <w:shd w:val="clear" w:color="auto" w:fill="auto"/>
            <w:noWrap/>
            <w:vAlign w:val="bottom"/>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w:t>
            </w:r>
          </w:p>
        </w:tc>
        <w:tc>
          <w:tcPr>
            <w:tcW w:w="1088" w:type="dxa"/>
            <w:tcBorders>
              <w:top w:val="nil"/>
              <w:left w:val="nil"/>
              <w:bottom w:val="nil"/>
              <w:right w:val="nil"/>
            </w:tcBorders>
            <w:shd w:val="clear" w:color="auto" w:fill="auto"/>
            <w:noWrap/>
            <w:vAlign w:val="bottom"/>
            <w:hideMark/>
          </w:tcPr>
          <w:p w:rsidR="00103670" w:rsidRPr="00103670" w:rsidRDefault="00103670" w:rsidP="008659B5">
            <w:pPr>
              <w:spacing w:after="0" w:line="240" w:lineRule="auto"/>
              <w:jc w:val="right"/>
              <w:rPr>
                <w:rFonts w:eastAsia="Times New Roman" w:cs="Arial"/>
                <w:b/>
                <w:bCs/>
                <w:sz w:val="20"/>
                <w:szCs w:val="20"/>
              </w:rPr>
            </w:pPr>
            <w:r w:rsidRPr="00103670">
              <w:rPr>
                <w:rFonts w:eastAsia="Times New Roman" w:cs="Arial"/>
                <w:b/>
                <w:bCs/>
                <w:sz w:val="20"/>
                <w:szCs w:val="20"/>
              </w:rPr>
              <w:t>%</w:t>
            </w:r>
          </w:p>
        </w:tc>
      </w:tr>
      <w:tr w:rsidR="00103670" w:rsidRPr="00103670" w:rsidTr="00893A2E">
        <w:trPr>
          <w:trHeight w:val="301"/>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Приходи от дялово участие</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7 495</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8 941</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-16%</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73%</w:t>
            </w:r>
          </w:p>
        </w:tc>
      </w:tr>
      <w:tr w:rsidR="00103670" w:rsidRPr="00103670" w:rsidTr="00893A2E">
        <w:trPr>
          <w:trHeight w:val="316"/>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Приходи от лихви по предоставени заеми</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793</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1 140</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-30%</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8%</w:t>
            </w:r>
          </w:p>
        </w:tc>
      </w:tr>
      <w:tr w:rsidR="00103670" w:rsidRPr="00103670" w:rsidTr="00893A2E">
        <w:trPr>
          <w:trHeight w:val="301"/>
        </w:trPr>
        <w:tc>
          <w:tcPr>
            <w:tcW w:w="4820" w:type="dxa"/>
            <w:tcBorders>
              <w:top w:val="nil"/>
              <w:left w:val="nil"/>
              <w:bottom w:val="nil"/>
              <w:right w:val="nil"/>
            </w:tcBorders>
            <w:shd w:val="clear" w:color="auto" w:fill="auto"/>
            <w:noWrap/>
            <w:vAlign w:val="bottom"/>
            <w:hideMark/>
          </w:tcPr>
          <w:p w:rsidR="00103670" w:rsidRPr="00893A2E" w:rsidRDefault="00103670" w:rsidP="00103670">
            <w:pPr>
              <w:spacing w:after="0" w:line="240" w:lineRule="auto"/>
              <w:rPr>
                <w:rFonts w:eastAsia="Times New Roman" w:cs="Arial"/>
                <w:i/>
                <w:sz w:val="20"/>
                <w:szCs w:val="20"/>
              </w:rPr>
            </w:pPr>
            <w:r w:rsidRPr="00893A2E">
              <w:rPr>
                <w:rFonts w:eastAsia="Times New Roman" w:cs="Arial"/>
                <w:i/>
                <w:sz w:val="20"/>
                <w:szCs w:val="20"/>
              </w:rPr>
              <w:t>Обезценка на вземания по предоставени търговски заеми</w:t>
            </w:r>
          </w:p>
        </w:tc>
        <w:tc>
          <w:tcPr>
            <w:tcW w:w="1134" w:type="dxa"/>
            <w:tcBorders>
              <w:top w:val="nil"/>
              <w:left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-881</w:t>
            </w:r>
          </w:p>
        </w:tc>
        <w:tc>
          <w:tcPr>
            <w:tcW w:w="1134" w:type="dxa"/>
            <w:tcBorders>
              <w:top w:val="nil"/>
              <w:left w:val="nil"/>
              <w:right w:val="nil"/>
            </w:tcBorders>
            <w:shd w:val="clear" w:color="000000" w:fill="C5D9F1"/>
            <w:noWrap/>
            <w:vAlign w:val="bottom"/>
            <w:hideMark/>
          </w:tcPr>
          <w:p w:rsidR="00103670" w:rsidRPr="00103670" w:rsidRDefault="00C13AE1">
            <w:pPr>
              <w:spacing w:after="0" w:line="240" w:lineRule="auto"/>
              <w:jc w:val="right"/>
              <w:rPr>
                <w:rFonts w:eastAsia="Times New Roman" w:cs="Arial"/>
                <w:sz w:val="20"/>
                <w:szCs w:val="20"/>
              </w:rPr>
            </w:pPr>
            <w:r>
              <w:rPr>
                <w:rFonts w:eastAsia="Times New Roman" w:cs="Arial"/>
                <w:sz w:val="20"/>
                <w:szCs w:val="20"/>
              </w:rPr>
              <w:t>-</w:t>
            </w:r>
            <w:r w:rsidR="00103670" w:rsidRPr="00103670">
              <w:rPr>
                <w:rFonts w:eastAsia="Times New Roman" w:cs="Arial"/>
                <w:sz w:val="20"/>
                <w:szCs w:val="20"/>
              </w:rPr>
              <w:t> </w:t>
            </w:r>
          </w:p>
        </w:tc>
        <w:tc>
          <w:tcPr>
            <w:tcW w:w="1175" w:type="dxa"/>
            <w:tcBorders>
              <w:top w:val="nil"/>
              <w:left w:val="nil"/>
              <w:bottom w:val="nil"/>
              <w:right w:val="nil"/>
            </w:tcBorders>
            <w:shd w:val="clear" w:color="auto" w:fill="auto"/>
            <w:noWrap/>
            <w:vAlign w:val="bottom"/>
            <w:hideMark/>
          </w:tcPr>
          <w:p w:rsidR="00103670" w:rsidRPr="00103670" w:rsidRDefault="00103670" w:rsidP="00893A2E">
            <w:pPr>
              <w:spacing w:after="0" w:line="240" w:lineRule="auto"/>
              <w:jc w:val="right"/>
              <w:rPr>
                <w:rFonts w:eastAsia="Times New Roman" w:cs="Arial"/>
                <w:sz w:val="20"/>
                <w:szCs w:val="20"/>
              </w:rPr>
            </w:pPr>
          </w:p>
        </w:tc>
        <w:tc>
          <w:tcPr>
            <w:tcW w:w="1088" w:type="dxa"/>
            <w:tcBorders>
              <w:top w:val="nil"/>
              <w:left w:val="nil"/>
              <w:bottom w:val="nil"/>
              <w:right w:val="nil"/>
            </w:tcBorders>
            <w:shd w:val="clear" w:color="auto" w:fill="auto"/>
            <w:noWrap/>
            <w:vAlign w:val="bottom"/>
            <w:hideMark/>
          </w:tcPr>
          <w:p w:rsidR="00103670" w:rsidRPr="00103670" w:rsidRDefault="00103670" w:rsidP="00893A2E">
            <w:pPr>
              <w:spacing w:after="0" w:line="240" w:lineRule="auto"/>
              <w:jc w:val="right"/>
              <w:rPr>
                <w:rFonts w:eastAsia="Times New Roman" w:cs="Arial"/>
                <w:sz w:val="20"/>
                <w:szCs w:val="20"/>
              </w:rPr>
            </w:pPr>
          </w:p>
        </w:tc>
      </w:tr>
      <w:tr w:rsidR="00103670" w:rsidRPr="00103670" w:rsidTr="00893A2E">
        <w:trPr>
          <w:trHeight w:val="527"/>
        </w:trPr>
        <w:tc>
          <w:tcPr>
            <w:tcW w:w="4820" w:type="dxa"/>
            <w:tcBorders>
              <w:top w:val="nil"/>
              <w:left w:val="nil"/>
              <w:bottom w:val="nil"/>
              <w:right w:val="nil"/>
            </w:tcBorders>
            <w:shd w:val="clear" w:color="auto" w:fill="auto"/>
            <w:vAlign w:val="bottom"/>
            <w:hideMark/>
          </w:tcPr>
          <w:p w:rsidR="00103670" w:rsidRPr="00893A2E" w:rsidRDefault="00103670" w:rsidP="00103670">
            <w:pPr>
              <w:spacing w:after="0" w:line="240" w:lineRule="auto"/>
              <w:rPr>
                <w:rFonts w:eastAsia="Times New Roman" w:cs="Arial"/>
                <w:i/>
                <w:sz w:val="20"/>
                <w:szCs w:val="20"/>
              </w:rPr>
            </w:pPr>
            <w:r w:rsidRPr="00893A2E">
              <w:rPr>
                <w:rFonts w:eastAsia="Times New Roman" w:cs="Arial"/>
                <w:i/>
                <w:sz w:val="20"/>
                <w:szCs w:val="20"/>
              </w:rPr>
              <w:t>Възстановена обезценка на вземания по предоставени търговски заеми</w:t>
            </w:r>
          </w:p>
        </w:tc>
        <w:tc>
          <w:tcPr>
            <w:tcW w:w="1134" w:type="dxa"/>
            <w:tcBorders>
              <w:top w:val="nil"/>
              <w:left w:val="nil"/>
              <w:bottom w:val="single" w:sz="4" w:space="0" w:color="auto"/>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1 661</w:t>
            </w:r>
          </w:p>
        </w:tc>
        <w:tc>
          <w:tcPr>
            <w:tcW w:w="1134" w:type="dxa"/>
            <w:tcBorders>
              <w:top w:val="nil"/>
              <w:left w:val="nil"/>
              <w:bottom w:val="single" w:sz="4" w:space="0" w:color="auto"/>
              <w:right w:val="nil"/>
            </w:tcBorders>
            <w:shd w:val="clear" w:color="000000" w:fill="C5D9F1"/>
            <w:noWrap/>
            <w:vAlign w:val="bottom"/>
            <w:hideMark/>
          </w:tcPr>
          <w:p w:rsidR="00103670" w:rsidRPr="00103670" w:rsidRDefault="00C13AE1">
            <w:pPr>
              <w:spacing w:after="0" w:line="240" w:lineRule="auto"/>
              <w:jc w:val="right"/>
              <w:rPr>
                <w:rFonts w:eastAsia="Times New Roman" w:cs="Arial"/>
                <w:sz w:val="20"/>
                <w:szCs w:val="20"/>
              </w:rPr>
            </w:pPr>
            <w:r>
              <w:rPr>
                <w:rFonts w:eastAsia="Times New Roman" w:cs="Arial"/>
                <w:sz w:val="20"/>
                <w:szCs w:val="20"/>
              </w:rPr>
              <w:t>-</w:t>
            </w:r>
            <w:r w:rsidR="00103670" w:rsidRPr="00103670">
              <w:rPr>
                <w:rFonts w:eastAsia="Times New Roman" w:cs="Arial"/>
                <w:sz w:val="20"/>
                <w:szCs w:val="20"/>
              </w:rPr>
              <w:t> </w:t>
            </w:r>
          </w:p>
        </w:tc>
        <w:tc>
          <w:tcPr>
            <w:tcW w:w="1175" w:type="dxa"/>
            <w:tcBorders>
              <w:top w:val="nil"/>
              <w:left w:val="nil"/>
              <w:bottom w:val="nil"/>
              <w:right w:val="nil"/>
            </w:tcBorders>
            <w:shd w:val="clear" w:color="auto" w:fill="auto"/>
            <w:noWrap/>
            <w:vAlign w:val="bottom"/>
            <w:hideMark/>
          </w:tcPr>
          <w:p w:rsidR="00103670" w:rsidRPr="00103670" w:rsidRDefault="00103670" w:rsidP="00893A2E">
            <w:pPr>
              <w:spacing w:after="0" w:line="240" w:lineRule="auto"/>
              <w:jc w:val="right"/>
              <w:rPr>
                <w:rFonts w:eastAsia="Times New Roman" w:cs="Arial"/>
                <w:sz w:val="20"/>
                <w:szCs w:val="20"/>
              </w:rPr>
            </w:pPr>
          </w:p>
        </w:tc>
        <w:tc>
          <w:tcPr>
            <w:tcW w:w="1088" w:type="dxa"/>
            <w:tcBorders>
              <w:top w:val="nil"/>
              <w:left w:val="nil"/>
              <w:bottom w:val="nil"/>
              <w:right w:val="nil"/>
            </w:tcBorders>
            <w:shd w:val="clear" w:color="auto" w:fill="auto"/>
            <w:noWrap/>
            <w:vAlign w:val="bottom"/>
            <w:hideMark/>
          </w:tcPr>
          <w:p w:rsidR="00103670" w:rsidRPr="00103670" w:rsidRDefault="00103670" w:rsidP="00893A2E">
            <w:pPr>
              <w:spacing w:after="0" w:line="240" w:lineRule="auto"/>
              <w:jc w:val="right"/>
              <w:rPr>
                <w:rFonts w:eastAsia="Times New Roman" w:cs="Arial"/>
                <w:sz w:val="20"/>
                <w:szCs w:val="20"/>
              </w:rPr>
            </w:pPr>
          </w:p>
        </w:tc>
      </w:tr>
      <w:tr w:rsidR="00103670" w:rsidRPr="00103670" w:rsidTr="00893A2E">
        <w:trPr>
          <w:trHeight w:val="558"/>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Нетно изменение на обезценките на вземанията по предоставени търговски заеми</w:t>
            </w:r>
          </w:p>
        </w:tc>
        <w:tc>
          <w:tcPr>
            <w:tcW w:w="1134" w:type="dxa"/>
            <w:tcBorders>
              <w:top w:val="single" w:sz="4" w:space="0" w:color="auto"/>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780</w:t>
            </w:r>
          </w:p>
        </w:tc>
        <w:tc>
          <w:tcPr>
            <w:tcW w:w="1134" w:type="dxa"/>
            <w:tcBorders>
              <w:top w:val="single" w:sz="4" w:space="0" w:color="auto"/>
              <w:left w:val="nil"/>
              <w:bottom w:val="nil"/>
              <w:right w:val="nil"/>
            </w:tcBorders>
            <w:shd w:val="clear" w:color="000000" w:fill="C5D9F1"/>
            <w:noWrap/>
            <w:vAlign w:val="bottom"/>
            <w:hideMark/>
          </w:tcPr>
          <w:p w:rsidR="00103670" w:rsidRPr="00103670" w:rsidRDefault="00C13AE1">
            <w:pPr>
              <w:spacing w:after="0" w:line="240" w:lineRule="auto"/>
              <w:jc w:val="right"/>
              <w:rPr>
                <w:rFonts w:eastAsia="Times New Roman" w:cs="Arial"/>
                <w:sz w:val="20"/>
                <w:szCs w:val="20"/>
              </w:rPr>
            </w:pPr>
            <w:r>
              <w:rPr>
                <w:rFonts w:eastAsia="Times New Roman" w:cs="Arial"/>
                <w:sz w:val="20"/>
                <w:szCs w:val="20"/>
              </w:rPr>
              <w:t>-</w:t>
            </w:r>
          </w:p>
        </w:tc>
        <w:tc>
          <w:tcPr>
            <w:tcW w:w="1175" w:type="dxa"/>
            <w:tcBorders>
              <w:top w:val="nil"/>
              <w:left w:val="nil"/>
              <w:bottom w:val="nil"/>
              <w:right w:val="nil"/>
            </w:tcBorders>
            <w:shd w:val="clear" w:color="auto" w:fill="auto"/>
            <w:noWrap/>
            <w:vAlign w:val="bottom"/>
            <w:hideMark/>
          </w:tcPr>
          <w:p w:rsidR="00103670" w:rsidRPr="00103670" w:rsidRDefault="00C80FD7" w:rsidP="00893A2E">
            <w:pPr>
              <w:spacing w:after="0" w:line="240" w:lineRule="auto"/>
              <w:jc w:val="right"/>
              <w:rPr>
                <w:rFonts w:eastAsia="Times New Roman" w:cs="Arial"/>
                <w:sz w:val="20"/>
                <w:szCs w:val="20"/>
              </w:rPr>
            </w:pPr>
            <w:r>
              <w:rPr>
                <w:rFonts w:eastAsia="Times New Roman" w:cs="Arial"/>
                <w:sz w:val="20"/>
                <w:szCs w:val="20"/>
              </w:rPr>
              <w:t>-</w:t>
            </w:r>
          </w:p>
        </w:tc>
        <w:tc>
          <w:tcPr>
            <w:tcW w:w="1088" w:type="dxa"/>
            <w:tcBorders>
              <w:top w:val="nil"/>
              <w:left w:val="nil"/>
              <w:bottom w:val="nil"/>
              <w:right w:val="nil"/>
            </w:tcBorders>
            <w:shd w:val="clear" w:color="auto" w:fill="auto"/>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8%</w:t>
            </w:r>
          </w:p>
        </w:tc>
      </w:tr>
      <w:tr w:rsidR="00103670" w:rsidRPr="00103670" w:rsidTr="00893A2E">
        <w:trPr>
          <w:trHeight w:val="301"/>
        </w:trPr>
        <w:tc>
          <w:tcPr>
            <w:tcW w:w="4820" w:type="dxa"/>
            <w:tcBorders>
              <w:top w:val="nil"/>
              <w:left w:val="nil"/>
              <w:bottom w:val="nil"/>
              <w:right w:val="nil"/>
            </w:tcBorders>
            <w:shd w:val="clear" w:color="auto" w:fill="auto"/>
            <w:noWrap/>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Нетна печалба от операции с ценни книжа</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1 254</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12 726</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-90%</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12%</w:t>
            </w:r>
          </w:p>
        </w:tc>
      </w:tr>
      <w:tr w:rsidR="00103670" w:rsidRPr="00103670" w:rsidTr="00893A2E">
        <w:trPr>
          <w:trHeight w:val="301"/>
        </w:trPr>
        <w:tc>
          <w:tcPr>
            <w:tcW w:w="4820"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rsidP="00103670">
            <w:pPr>
              <w:spacing w:after="0" w:line="240" w:lineRule="auto"/>
              <w:rPr>
                <w:rFonts w:eastAsia="Times New Roman" w:cs="Arial"/>
                <w:b/>
                <w:bCs/>
                <w:sz w:val="20"/>
                <w:szCs w:val="20"/>
              </w:rPr>
            </w:pPr>
            <w:r w:rsidRPr="00103670">
              <w:rPr>
                <w:rFonts w:eastAsia="Times New Roman" w:cs="Arial"/>
                <w:b/>
                <w:bCs/>
                <w:sz w:val="20"/>
                <w:szCs w:val="20"/>
              </w:rPr>
              <w:t>Общо</w:t>
            </w:r>
          </w:p>
        </w:tc>
        <w:tc>
          <w:tcPr>
            <w:tcW w:w="1134" w:type="dxa"/>
            <w:tcBorders>
              <w:top w:val="single" w:sz="4" w:space="0" w:color="auto"/>
              <w:left w:val="nil"/>
              <w:bottom w:val="double" w:sz="6" w:space="0" w:color="auto"/>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b/>
                <w:bCs/>
                <w:sz w:val="20"/>
                <w:szCs w:val="20"/>
              </w:rPr>
            </w:pPr>
            <w:r w:rsidRPr="00103670">
              <w:rPr>
                <w:rFonts w:eastAsia="Times New Roman" w:cs="Arial"/>
                <w:b/>
                <w:bCs/>
                <w:sz w:val="20"/>
                <w:szCs w:val="20"/>
              </w:rPr>
              <w:t>10 322</w:t>
            </w:r>
          </w:p>
        </w:tc>
        <w:tc>
          <w:tcPr>
            <w:tcW w:w="1134" w:type="dxa"/>
            <w:tcBorders>
              <w:top w:val="single" w:sz="4" w:space="0" w:color="auto"/>
              <w:left w:val="nil"/>
              <w:bottom w:val="double" w:sz="6" w:space="0" w:color="auto"/>
              <w:right w:val="nil"/>
            </w:tcBorders>
            <w:shd w:val="clear" w:color="000000" w:fill="DCE6F1"/>
            <w:noWrap/>
            <w:vAlign w:val="bottom"/>
            <w:hideMark/>
          </w:tcPr>
          <w:p w:rsidR="00103670" w:rsidRPr="00103670" w:rsidRDefault="00103670">
            <w:pPr>
              <w:spacing w:after="0" w:line="240" w:lineRule="auto"/>
              <w:jc w:val="right"/>
              <w:rPr>
                <w:rFonts w:eastAsia="Times New Roman" w:cs="Arial"/>
                <w:b/>
                <w:bCs/>
                <w:sz w:val="20"/>
                <w:szCs w:val="20"/>
              </w:rPr>
            </w:pPr>
            <w:r w:rsidRPr="00103670">
              <w:rPr>
                <w:rFonts w:eastAsia="Times New Roman" w:cs="Arial"/>
                <w:b/>
                <w:bCs/>
                <w:sz w:val="20"/>
                <w:szCs w:val="20"/>
              </w:rPr>
              <w:t>22 807</w:t>
            </w:r>
          </w:p>
        </w:tc>
        <w:tc>
          <w:tcPr>
            <w:tcW w:w="1175"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-55%</w:t>
            </w:r>
          </w:p>
        </w:tc>
        <w:tc>
          <w:tcPr>
            <w:tcW w:w="1088"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100%</w:t>
            </w:r>
          </w:p>
        </w:tc>
      </w:tr>
      <w:tr w:rsidR="00103670" w:rsidRPr="00103670" w:rsidTr="00893A2E">
        <w:trPr>
          <w:trHeight w:val="1010"/>
        </w:trPr>
        <w:tc>
          <w:tcPr>
            <w:tcW w:w="4820" w:type="dxa"/>
            <w:tcBorders>
              <w:top w:val="nil"/>
              <w:left w:val="nil"/>
              <w:bottom w:val="nil"/>
              <w:right w:val="nil"/>
            </w:tcBorders>
            <w:shd w:val="clear" w:color="auto" w:fill="auto"/>
            <w:noWrap/>
            <w:vAlign w:val="bottom"/>
            <w:hideMark/>
          </w:tcPr>
          <w:p w:rsidR="00103670" w:rsidRPr="00103670" w:rsidRDefault="00103670" w:rsidP="00103670">
            <w:pPr>
              <w:spacing w:after="0" w:line="240" w:lineRule="auto"/>
              <w:jc w:val="center"/>
              <w:rPr>
                <w:rFonts w:eastAsia="Times New Roman" w:cs="Arial"/>
                <w:b/>
                <w:bCs/>
                <w:sz w:val="20"/>
                <w:szCs w:val="20"/>
              </w:rPr>
            </w:pPr>
            <w:r w:rsidRPr="00103670">
              <w:rPr>
                <w:rFonts w:eastAsia="Times New Roman" w:cs="Arial"/>
                <w:b/>
                <w:bCs/>
                <w:sz w:val="20"/>
                <w:szCs w:val="20"/>
              </w:rPr>
              <w:t>Финансови разходи</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b/>
                <w:bCs/>
                <w:i/>
                <w:iCs/>
                <w:sz w:val="20"/>
                <w:szCs w:val="20"/>
              </w:rPr>
            </w:pPr>
            <w:r w:rsidRPr="00103670">
              <w:rPr>
                <w:rFonts w:eastAsia="Times New Roman" w:cs="Arial"/>
                <w:b/>
                <w:bCs/>
                <w:i/>
                <w:iCs/>
                <w:sz w:val="20"/>
                <w:szCs w:val="20"/>
              </w:rPr>
              <w:t> </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b/>
                <w:bCs/>
                <w:i/>
                <w:iCs/>
                <w:sz w:val="20"/>
                <w:szCs w:val="20"/>
              </w:rPr>
            </w:pPr>
            <w:r w:rsidRPr="00103670">
              <w:rPr>
                <w:rFonts w:eastAsia="Times New Roman" w:cs="Arial"/>
                <w:b/>
                <w:bCs/>
                <w:i/>
                <w:iCs/>
                <w:sz w:val="20"/>
                <w:szCs w:val="20"/>
              </w:rPr>
              <w:t> </w:t>
            </w:r>
          </w:p>
        </w:tc>
        <w:tc>
          <w:tcPr>
            <w:tcW w:w="1175" w:type="dxa"/>
            <w:tcBorders>
              <w:top w:val="nil"/>
              <w:left w:val="nil"/>
              <w:bottom w:val="nil"/>
              <w:right w:val="nil"/>
            </w:tcBorders>
            <w:shd w:val="clear" w:color="auto" w:fill="auto"/>
            <w:vAlign w:val="center"/>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промяна                          %</w:t>
            </w:r>
          </w:p>
        </w:tc>
        <w:tc>
          <w:tcPr>
            <w:tcW w:w="1088" w:type="dxa"/>
            <w:tcBorders>
              <w:top w:val="nil"/>
              <w:left w:val="nil"/>
              <w:bottom w:val="nil"/>
              <w:right w:val="nil"/>
            </w:tcBorders>
            <w:shd w:val="clear" w:color="auto" w:fill="auto"/>
            <w:vAlign w:val="center"/>
            <w:hideMark/>
          </w:tcPr>
          <w:p w:rsidR="00103670" w:rsidRPr="00103670" w:rsidRDefault="00103670" w:rsidP="00893A2E">
            <w:pPr>
              <w:spacing w:after="0" w:line="240" w:lineRule="auto"/>
              <w:jc w:val="right"/>
              <w:rPr>
                <w:rFonts w:eastAsia="Times New Roman" w:cs="Arial"/>
                <w:b/>
                <w:bCs/>
                <w:sz w:val="20"/>
                <w:szCs w:val="20"/>
              </w:rPr>
            </w:pPr>
            <w:r w:rsidRPr="00103670">
              <w:rPr>
                <w:rFonts w:eastAsia="Times New Roman" w:cs="Arial"/>
                <w:b/>
                <w:bCs/>
                <w:sz w:val="20"/>
                <w:szCs w:val="20"/>
              </w:rPr>
              <w:t>отн.</w:t>
            </w:r>
            <w:r w:rsidR="00C13AE1">
              <w:rPr>
                <w:rFonts w:eastAsia="Times New Roman" w:cs="Arial"/>
                <w:b/>
                <w:bCs/>
                <w:sz w:val="20"/>
                <w:szCs w:val="20"/>
              </w:rPr>
              <w:t xml:space="preserve"> </w:t>
            </w:r>
            <w:r w:rsidRPr="00103670">
              <w:rPr>
                <w:rFonts w:eastAsia="Times New Roman" w:cs="Arial"/>
                <w:b/>
                <w:bCs/>
                <w:sz w:val="20"/>
                <w:szCs w:val="20"/>
              </w:rPr>
              <w:t>дял на разходите за 2017</w:t>
            </w:r>
          </w:p>
        </w:tc>
      </w:tr>
      <w:tr w:rsidR="00103670" w:rsidRPr="00103670" w:rsidTr="00893A2E">
        <w:trPr>
          <w:trHeight w:val="301"/>
        </w:trPr>
        <w:tc>
          <w:tcPr>
            <w:tcW w:w="4820" w:type="dxa"/>
            <w:tcBorders>
              <w:top w:val="nil"/>
              <w:left w:val="nil"/>
              <w:bottom w:val="nil"/>
              <w:right w:val="nil"/>
            </w:tcBorders>
            <w:shd w:val="clear" w:color="auto" w:fill="auto"/>
            <w:noWrap/>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Разходи за лихви по получени заеми</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611</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1 146</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-47%</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61%</w:t>
            </w:r>
          </w:p>
        </w:tc>
      </w:tr>
      <w:tr w:rsidR="00103670" w:rsidRPr="00103670" w:rsidTr="00893A2E">
        <w:trPr>
          <w:trHeight w:val="301"/>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Ефекти от деривативи</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80</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57</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40%</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3%</w:t>
            </w:r>
          </w:p>
        </w:tc>
      </w:tr>
      <w:tr w:rsidR="00103670" w:rsidRPr="00103670" w:rsidTr="00893A2E">
        <w:trPr>
          <w:trHeight w:val="301"/>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Банкови такси по заеми и гаранции</w:t>
            </w:r>
          </w:p>
        </w:tc>
        <w:tc>
          <w:tcPr>
            <w:tcW w:w="1134" w:type="dxa"/>
            <w:tcBorders>
              <w:top w:val="nil"/>
              <w:left w:val="nil"/>
              <w:bottom w:val="nil"/>
              <w:right w:val="nil"/>
            </w:tcBorders>
            <w:shd w:val="clear" w:color="000000" w:fill="DCE6F1"/>
            <w:noWrap/>
            <w:vAlign w:val="bottom"/>
            <w:hideMark/>
          </w:tcPr>
          <w:p w:rsidR="00103670" w:rsidRPr="00103670" w:rsidRDefault="00103670" w:rsidP="008659B5">
            <w:pPr>
              <w:spacing w:after="0" w:line="240" w:lineRule="auto"/>
              <w:jc w:val="right"/>
              <w:rPr>
                <w:rFonts w:eastAsia="Times New Roman" w:cs="Arial"/>
                <w:sz w:val="20"/>
                <w:szCs w:val="20"/>
              </w:rPr>
            </w:pPr>
            <w:r w:rsidRPr="00103670">
              <w:rPr>
                <w:rFonts w:eastAsia="Times New Roman" w:cs="Arial"/>
                <w:sz w:val="20"/>
                <w:szCs w:val="20"/>
              </w:rPr>
              <w:t>124</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187</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-34%</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10%</w:t>
            </w:r>
          </w:p>
        </w:tc>
      </w:tr>
      <w:tr w:rsidR="00103670" w:rsidRPr="00103670" w:rsidTr="00893A2E">
        <w:trPr>
          <w:trHeight w:val="301"/>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Обезценка на вземания по предоставени търговски заеми</w:t>
            </w:r>
          </w:p>
        </w:tc>
        <w:tc>
          <w:tcPr>
            <w:tcW w:w="1134" w:type="dxa"/>
            <w:tcBorders>
              <w:top w:val="nil"/>
              <w:left w:val="nil"/>
              <w:bottom w:val="nil"/>
              <w:right w:val="nil"/>
            </w:tcBorders>
            <w:shd w:val="clear" w:color="000000" w:fill="DCE6F1"/>
            <w:noWrap/>
            <w:vAlign w:val="bottom"/>
            <w:hideMark/>
          </w:tcPr>
          <w:p w:rsidR="00103670" w:rsidRPr="00103670" w:rsidRDefault="00C13AE1" w:rsidP="008659B5">
            <w:pPr>
              <w:spacing w:after="0" w:line="240" w:lineRule="auto"/>
              <w:jc w:val="right"/>
              <w:rPr>
                <w:rFonts w:eastAsia="Times New Roman" w:cs="Arial"/>
                <w:sz w:val="20"/>
                <w:szCs w:val="20"/>
              </w:rPr>
            </w:pPr>
            <w:r>
              <w:rPr>
                <w:rFonts w:eastAsia="Times New Roman" w:cs="Arial"/>
                <w:sz w:val="20"/>
                <w:szCs w:val="20"/>
              </w:rPr>
              <w:t>-</w:t>
            </w:r>
            <w:r w:rsidR="00103670" w:rsidRPr="00103670">
              <w:rPr>
                <w:rFonts w:eastAsia="Times New Roman" w:cs="Arial"/>
                <w:sz w:val="20"/>
                <w:szCs w:val="20"/>
              </w:rPr>
              <w:t> </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492</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-100%</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26%</w:t>
            </w:r>
          </w:p>
        </w:tc>
      </w:tr>
      <w:tr w:rsidR="00103670" w:rsidRPr="00103670" w:rsidTr="00893A2E">
        <w:trPr>
          <w:trHeight w:val="301"/>
        </w:trPr>
        <w:tc>
          <w:tcPr>
            <w:tcW w:w="4820" w:type="dxa"/>
            <w:tcBorders>
              <w:top w:val="nil"/>
              <w:left w:val="nil"/>
              <w:bottom w:val="nil"/>
              <w:right w:val="nil"/>
            </w:tcBorders>
            <w:shd w:val="clear" w:color="auto" w:fill="auto"/>
            <w:vAlign w:val="bottom"/>
            <w:hideMark/>
          </w:tcPr>
          <w:p w:rsidR="00103670" w:rsidRPr="00103670" w:rsidRDefault="00103670" w:rsidP="00103670">
            <w:pPr>
              <w:spacing w:after="0" w:line="240" w:lineRule="auto"/>
              <w:rPr>
                <w:rFonts w:eastAsia="Times New Roman" w:cs="Arial"/>
                <w:sz w:val="20"/>
                <w:szCs w:val="20"/>
              </w:rPr>
            </w:pPr>
            <w:r w:rsidRPr="00103670">
              <w:rPr>
                <w:rFonts w:eastAsia="Times New Roman" w:cs="Arial"/>
                <w:sz w:val="20"/>
                <w:szCs w:val="20"/>
              </w:rPr>
              <w:t>Разходи за лихви по финансов лизинг</w:t>
            </w:r>
          </w:p>
        </w:tc>
        <w:tc>
          <w:tcPr>
            <w:tcW w:w="1134" w:type="dxa"/>
            <w:tcBorders>
              <w:top w:val="nil"/>
              <w:left w:val="nil"/>
              <w:bottom w:val="nil"/>
              <w:right w:val="nil"/>
            </w:tcBorders>
            <w:shd w:val="clear" w:color="000000" w:fill="DCE6F1"/>
            <w:noWrap/>
            <w:vAlign w:val="bottom"/>
            <w:hideMark/>
          </w:tcPr>
          <w:p w:rsidR="00103670" w:rsidRPr="00103670" w:rsidRDefault="00C13AE1" w:rsidP="008659B5">
            <w:pPr>
              <w:spacing w:after="0" w:line="240" w:lineRule="auto"/>
              <w:jc w:val="right"/>
              <w:rPr>
                <w:rFonts w:eastAsia="Times New Roman" w:cs="Arial"/>
                <w:sz w:val="20"/>
                <w:szCs w:val="20"/>
              </w:rPr>
            </w:pPr>
            <w:r>
              <w:rPr>
                <w:rFonts w:eastAsia="Times New Roman" w:cs="Arial"/>
                <w:sz w:val="20"/>
                <w:szCs w:val="20"/>
              </w:rPr>
              <w:t>-</w:t>
            </w:r>
            <w:r w:rsidR="00103670" w:rsidRPr="00103670">
              <w:rPr>
                <w:rFonts w:eastAsia="Times New Roman" w:cs="Arial"/>
                <w:sz w:val="20"/>
                <w:szCs w:val="20"/>
              </w:rPr>
              <w:t> </w:t>
            </w:r>
          </w:p>
        </w:tc>
        <w:tc>
          <w:tcPr>
            <w:tcW w:w="1134" w:type="dxa"/>
            <w:tcBorders>
              <w:top w:val="nil"/>
              <w:left w:val="nil"/>
              <w:bottom w:val="nil"/>
              <w:right w:val="nil"/>
            </w:tcBorders>
            <w:shd w:val="clear" w:color="000000" w:fill="C5D9F1"/>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2</w:t>
            </w:r>
          </w:p>
        </w:tc>
        <w:tc>
          <w:tcPr>
            <w:tcW w:w="1175"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-100%</w:t>
            </w:r>
          </w:p>
        </w:tc>
        <w:tc>
          <w:tcPr>
            <w:tcW w:w="1088" w:type="dxa"/>
            <w:tcBorders>
              <w:top w:val="nil"/>
              <w:left w:val="nil"/>
              <w:bottom w:val="nil"/>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0%</w:t>
            </w:r>
          </w:p>
        </w:tc>
      </w:tr>
      <w:tr w:rsidR="00103670" w:rsidRPr="00103670" w:rsidTr="00893A2E">
        <w:trPr>
          <w:trHeight w:val="301"/>
        </w:trPr>
        <w:tc>
          <w:tcPr>
            <w:tcW w:w="4820"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rsidP="00103670">
            <w:pPr>
              <w:spacing w:after="0" w:line="240" w:lineRule="auto"/>
              <w:rPr>
                <w:rFonts w:eastAsia="Times New Roman" w:cs="Arial"/>
                <w:b/>
                <w:bCs/>
                <w:sz w:val="20"/>
                <w:szCs w:val="20"/>
              </w:rPr>
            </w:pPr>
            <w:r w:rsidRPr="00103670">
              <w:rPr>
                <w:rFonts w:eastAsia="Times New Roman" w:cs="Arial"/>
                <w:b/>
                <w:bCs/>
                <w:sz w:val="20"/>
                <w:szCs w:val="20"/>
              </w:rPr>
              <w:t>Общо</w:t>
            </w:r>
          </w:p>
        </w:tc>
        <w:tc>
          <w:tcPr>
            <w:tcW w:w="1134" w:type="dxa"/>
            <w:tcBorders>
              <w:top w:val="single" w:sz="4" w:space="0" w:color="auto"/>
              <w:left w:val="nil"/>
              <w:bottom w:val="double" w:sz="6" w:space="0" w:color="auto"/>
              <w:right w:val="nil"/>
            </w:tcBorders>
            <w:shd w:val="clear" w:color="auto" w:fill="DBE5F1" w:themeFill="accent1" w:themeFillTint="33"/>
            <w:noWrap/>
            <w:vAlign w:val="bottom"/>
            <w:hideMark/>
          </w:tcPr>
          <w:p w:rsidR="00103670" w:rsidRPr="00103670" w:rsidRDefault="00103670" w:rsidP="008659B5">
            <w:pPr>
              <w:spacing w:after="0" w:line="240" w:lineRule="auto"/>
              <w:jc w:val="right"/>
              <w:rPr>
                <w:rFonts w:eastAsia="Times New Roman" w:cs="Arial"/>
                <w:b/>
                <w:bCs/>
                <w:sz w:val="20"/>
                <w:szCs w:val="20"/>
              </w:rPr>
            </w:pPr>
            <w:r w:rsidRPr="00103670">
              <w:rPr>
                <w:rFonts w:eastAsia="Times New Roman" w:cs="Arial"/>
                <w:b/>
                <w:bCs/>
                <w:sz w:val="20"/>
                <w:szCs w:val="20"/>
              </w:rPr>
              <w:t>815</w:t>
            </w:r>
          </w:p>
        </w:tc>
        <w:tc>
          <w:tcPr>
            <w:tcW w:w="1134" w:type="dxa"/>
            <w:tcBorders>
              <w:top w:val="single" w:sz="4" w:space="0" w:color="auto"/>
              <w:left w:val="nil"/>
              <w:bottom w:val="double" w:sz="6" w:space="0" w:color="auto"/>
              <w:right w:val="nil"/>
            </w:tcBorders>
            <w:shd w:val="clear" w:color="000000" w:fill="C5D9F1"/>
            <w:noWrap/>
            <w:vAlign w:val="bottom"/>
            <w:hideMark/>
          </w:tcPr>
          <w:p w:rsidR="00103670" w:rsidRPr="00103670" w:rsidRDefault="00103670">
            <w:pPr>
              <w:spacing w:after="0" w:line="240" w:lineRule="auto"/>
              <w:jc w:val="right"/>
              <w:rPr>
                <w:rFonts w:eastAsia="Times New Roman" w:cs="Arial"/>
                <w:b/>
                <w:bCs/>
                <w:sz w:val="20"/>
                <w:szCs w:val="20"/>
              </w:rPr>
            </w:pPr>
            <w:r w:rsidRPr="00103670">
              <w:rPr>
                <w:rFonts w:eastAsia="Times New Roman" w:cs="Arial"/>
                <w:b/>
                <w:bCs/>
                <w:sz w:val="20"/>
                <w:szCs w:val="20"/>
              </w:rPr>
              <w:t>1 884</w:t>
            </w:r>
          </w:p>
        </w:tc>
        <w:tc>
          <w:tcPr>
            <w:tcW w:w="1175"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-57%</w:t>
            </w:r>
          </w:p>
        </w:tc>
        <w:tc>
          <w:tcPr>
            <w:tcW w:w="1088" w:type="dxa"/>
            <w:tcBorders>
              <w:top w:val="single" w:sz="4" w:space="0" w:color="auto"/>
              <w:left w:val="nil"/>
              <w:bottom w:val="double" w:sz="6" w:space="0" w:color="auto"/>
              <w:right w:val="nil"/>
            </w:tcBorders>
            <w:shd w:val="clear" w:color="auto" w:fill="auto"/>
            <w:noWrap/>
            <w:vAlign w:val="bottom"/>
            <w:hideMark/>
          </w:tcPr>
          <w:p w:rsidR="00103670" w:rsidRPr="00103670" w:rsidRDefault="00103670">
            <w:pPr>
              <w:spacing w:after="0" w:line="240" w:lineRule="auto"/>
              <w:jc w:val="right"/>
              <w:rPr>
                <w:rFonts w:eastAsia="Times New Roman" w:cs="Arial"/>
                <w:sz w:val="20"/>
                <w:szCs w:val="20"/>
              </w:rPr>
            </w:pPr>
            <w:r w:rsidRPr="00103670">
              <w:rPr>
                <w:rFonts w:eastAsia="Times New Roman" w:cs="Arial"/>
                <w:sz w:val="20"/>
                <w:szCs w:val="20"/>
              </w:rPr>
              <w:t>100%</w:t>
            </w:r>
          </w:p>
        </w:tc>
      </w:tr>
    </w:tbl>
    <w:p w:rsidR="00103670" w:rsidRDefault="00103670" w:rsidP="00F80195">
      <w:pPr>
        <w:suppressAutoHyphens/>
        <w:autoSpaceDN w:val="0"/>
        <w:spacing w:before="40" w:after="40" w:line="240" w:lineRule="auto"/>
        <w:jc w:val="both"/>
        <w:textAlignment w:val="baseline"/>
        <w:rPr>
          <w:rFonts w:eastAsia="Calibri" w:cs="Calibri"/>
          <w:sz w:val="24"/>
          <w:szCs w:val="24"/>
        </w:rPr>
      </w:pPr>
    </w:p>
    <w:p w:rsidR="00F80195" w:rsidRPr="00AE6DEE" w:rsidRDefault="00F80195" w:rsidP="001917EC">
      <w:pPr>
        <w:spacing w:after="0" w:line="240" w:lineRule="auto"/>
        <w:jc w:val="both"/>
        <w:rPr>
          <w:rFonts w:eastAsia="Calibri" w:cs="Calibri"/>
          <w:sz w:val="24"/>
          <w:szCs w:val="24"/>
        </w:rPr>
      </w:pPr>
      <w:r w:rsidRPr="00AE6DEE">
        <w:rPr>
          <w:rFonts w:eastAsia="Calibri" w:cs="Calibri"/>
          <w:i/>
          <w:sz w:val="24"/>
          <w:szCs w:val="24"/>
        </w:rPr>
        <w:t>Финансовите приходи</w:t>
      </w:r>
      <w:r>
        <w:rPr>
          <w:rFonts w:eastAsia="Calibri" w:cs="Calibri"/>
          <w:sz w:val="24"/>
          <w:szCs w:val="24"/>
        </w:rPr>
        <w:t xml:space="preserve"> </w:t>
      </w:r>
      <w:r w:rsidR="00103670">
        <w:rPr>
          <w:rFonts w:eastAsia="Calibri" w:cs="Calibri"/>
          <w:sz w:val="24"/>
          <w:szCs w:val="24"/>
        </w:rPr>
        <w:t>намаляват</w:t>
      </w:r>
      <w:r>
        <w:rPr>
          <w:rFonts w:eastAsia="Calibri" w:cs="Calibri"/>
          <w:sz w:val="24"/>
          <w:szCs w:val="24"/>
        </w:rPr>
        <w:t xml:space="preserve"> с </w:t>
      </w:r>
      <w:r w:rsidR="00103670">
        <w:rPr>
          <w:rFonts w:eastAsia="Calibri" w:cs="Calibri"/>
          <w:sz w:val="24"/>
          <w:szCs w:val="24"/>
        </w:rPr>
        <w:t>12,5</w:t>
      </w:r>
      <w:r>
        <w:rPr>
          <w:rFonts w:eastAsia="Calibri" w:cs="Calibri"/>
          <w:sz w:val="24"/>
          <w:szCs w:val="24"/>
        </w:rPr>
        <w:t xml:space="preserve"> млн. лв. или с </w:t>
      </w:r>
      <w:r w:rsidR="00103670">
        <w:rPr>
          <w:rFonts w:eastAsia="Calibri" w:cs="Calibri"/>
          <w:sz w:val="24"/>
          <w:szCs w:val="24"/>
        </w:rPr>
        <w:t>55</w:t>
      </w:r>
      <w:r>
        <w:rPr>
          <w:rFonts w:eastAsia="Calibri" w:cs="Calibri"/>
          <w:sz w:val="24"/>
          <w:szCs w:val="24"/>
        </w:rPr>
        <w:t>%, до 1</w:t>
      </w:r>
      <w:r w:rsidR="00103670">
        <w:rPr>
          <w:rFonts w:eastAsia="Calibri" w:cs="Calibri"/>
          <w:sz w:val="24"/>
          <w:szCs w:val="24"/>
        </w:rPr>
        <w:t>0,3</w:t>
      </w:r>
      <w:r>
        <w:rPr>
          <w:rFonts w:eastAsia="Calibri" w:cs="Calibri"/>
          <w:sz w:val="24"/>
          <w:szCs w:val="24"/>
        </w:rPr>
        <w:t xml:space="preserve"> млн. лв. през първо </w:t>
      </w:r>
      <w:r w:rsidR="00103670">
        <w:rPr>
          <w:rFonts w:eastAsia="Calibri" w:cs="Calibri"/>
          <w:sz w:val="24"/>
          <w:szCs w:val="24"/>
        </w:rPr>
        <w:t xml:space="preserve">полугодие </w:t>
      </w:r>
      <w:r>
        <w:rPr>
          <w:rFonts w:eastAsia="Calibri" w:cs="Calibri"/>
          <w:sz w:val="24"/>
          <w:szCs w:val="24"/>
        </w:rPr>
        <w:t xml:space="preserve">2017  г. </w:t>
      </w:r>
      <w:r w:rsidRPr="00AE6DEE">
        <w:rPr>
          <w:rFonts w:eastAsia="Calibri" w:cs="Calibri"/>
          <w:sz w:val="24"/>
          <w:szCs w:val="24"/>
        </w:rPr>
        <w:t xml:space="preserve">спрямо </w:t>
      </w:r>
      <w:r w:rsidR="00103670">
        <w:rPr>
          <w:rFonts w:eastAsia="Calibri" w:cs="Calibri"/>
          <w:sz w:val="24"/>
          <w:szCs w:val="24"/>
        </w:rPr>
        <w:t>22,8</w:t>
      </w:r>
      <w:r>
        <w:rPr>
          <w:rFonts w:eastAsia="Calibri" w:cs="Calibri"/>
          <w:sz w:val="24"/>
          <w:szCs w:val="24"/>
        </w:rPr>
        <w:t xml:space="preserve"> млн. лв. </w:t>
      </w:r>
      <w:r w:rsidR="00103670">
        <w:rPr>
          <w:rFonts w:eastAsia="Calibri" w:cs="Calibri"/>
          <w:sz w:val="24"/>
          <w:szCs w:val="24"/>
        </w:rPr>
        <w:t xml:space="preserve">през </w:t>
      </w:r>
      <w:r>
        <w:rPr>
          <w:rFonts w:eastAsia="Calibri" w:cs="Calibri"/>
          <w:sz w:val="24"/>
          <w:szCs w:val="24"/>
        </w:rPr>
        <w:t xml:space="preserve">първо </w:t>
      </w:r>
      <w:r w:rsidR="00103670">
        <w:rPr>
          <w:rFonts w:eastAsia="Calibri" w:cs="Calibri"/>
          <w:sz w:val="24"/>
          <w:szCs w:val="24"/>
        </w:rPr>
        <w:t xml:space="preserve">полугодие </w:t>
      </w:r>
      <w:r>
        <w:rPr>
          <w:rFonts w:eastAsia="Calibri" w:cs="Calibri"/>
          <w:sz w:val="24"/>
          <w:szCs w:val="24"/>
        </w:rPr>
        <w:t xml:space="preserve">2017  г. </w:t>
      </w:r>
      <w:r w:rsidR="00A864FE">
        <w:rPr>
          <w:rFonts w:eastAsia="Calibri" w:cs="Calibri"/>
          <w:sz w:val="24"/>
          <w:szCs w:val="24"/>
        </w:rPr>
        <w:t>Причината е</w:t>
      </w:r>
      <w:r w:rsidR="00C80FD7">
        <w:rPr>
          <w:rFonts w:eastAsia="Calibri" w:cs="Calibri"/>
          <w:sz w:val="24"/>
          <w:szCs w:val="24"/>
        </w:rPr>
        <w:t xml:space="preserve"> </w:t>
      </w:r>
      <w:r w:rsidR="00D377F4">
        <w:rPr>
          <w:rFonts w:eastAsia="Calibri" w:cs="Calibri"/>
          <w:sz w:val="24"/>
          <w:szCs w:val="24"/>
        </w:rPr>
        <w:t>намаление</w:t>
      </w:r>
      <w:r w:rsidR="00A864FE">
        <w:rPr>
          <w:rFonts w:eastAsia="Calibri" w:cs="Calibri"/>
          <w:sz w:val="24"/>
          <w:szCs w:val="24"/>
        </w:rPr>
        <w:t>то</w:t>
      </w:r>
      <w:r w:rsidR="00D377F4">
        <w:rPr>
          <w:rFonts w:eastAsia="Calibri" w:cs="Calibri"/>
          <w:sz w:val="24"/>
          <w:szCs w:val="24"/>
        </w:rPr>
        <w:t xml:space="preserve"> на нетната печалба от операции с ценни книжа </w:t>
      </w:r>
      <w:r>
        <w:rPr>
          <w:rFonts w:eastAsia="Calibri" w:cs="Calibri"/>
          <w:sz w:val="24"/>
          <w:szCs w:val="24"/>
        </w:rPr>
        <w:t xml:space="preserve">с </w:t>
      </w:r>
      <w:r w:rsidR="00D377F4">
        <w:rPr>
          <w:rFonts w:eastAsia="Calibri" w:cs="Calibri"/>
          <w:sz w:val="24"/>
          <w:szCs w:val="24"/>
        </w:rPr>
        <w:t>11,5</w:t>
      </w:r>
      <w:r>
        <w:rPr>
          <w:rFonts w:eastAsia="Calibri" w:cs="Calibri"/>
          <w:sz w:val="24"/>
          <w:szCs w:val="24"/>
        </w:rPr>
        <w:t xml:space="preserve"> млн. </w:t>
      </w:r>
      <w:r w:rsidR="00A11436">
        <w:rPr>
          <w:rFonts w:eastAsia="Calibri" w:cs="Calibri"/>
          <w:sz w:val="24"/>
          <w:szCs w:val="24"/>
        </w:rPr>
        <w:t>л</w:t>
      </w:r>
      <w:r>
        <w:rPr>
          <w:rFonts w:eastAsia="Calibri" w:cs="Calibri"/>
          <w:sz w:val="24"/>
          <w:szCs w:val="24"/>
        </w:rPr>
        <w:t>в</w:t>
      </w:r>
      <w:r w:rsidR="00A11436">
        <w:rPr>
          <w:rFonts w:eastAsia="Calibri" w:cs="Calibri"/>
          <w:sz w:val="24"/>
          <w:szCs w:val="24"/>
        </w:rPr>
        <w:t>..</w:t>
      </w:r>
      <w:r w:rsidR="00C80FD7">
        <w:rPr>
          <w:rFonts w:eastAsia="Calibri" w:cs="Calibri"/>
          <w:sz w:val="24"/>
          <w:szCs w:val="24"/>
        </w:rPr>
        <w:t xml:space="preserve"> </w:t>
      </w: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Финансовите разходи</w:t>
      </w:r>
      <w:r>
        <w:rPr>
          <w:rFonts w:eastAsia="Calibri" w:cs="Calibri"/>
          <w:sz w:val="24"/>
          <w:szCs w:val="24"/>
        </w:rPr>
        <w:t xml:space="preserve"> намаляват с </w:t>
      </w:r>
      <w:r w:rsidR="00D377F4">
        <w:rPr>
          <w:rFonts w:eastAsia="Calibri" w:cs="Calibri"/>
          <w:sz w:val="24"/>
          <w:szCs w:val="24"/>
        </w:rPr>
        <w:t>1,1</w:t>
      </w:r>
      <w:r>
        <w:rPr>
          <w:rFonts w:eastAsia="Calibri" w:cs="Calibri"/>
          <w:sz w:val="24"/>
          <w:szCs w:val="24"/>
        </w:rPr>
        <w:t xml:space="preserve"> млн. лв. или с </w:t>
      </w:r>
      <w:r w:rsidR="00D377F4">
        <w:rPr>
          <w:rFonts w:eastAsia="Calibri" w:cs="Calibri"/>
          <w:sz w:val="24"/>
          <w:szCs w:val="24"/>
        </w:rPr>
        <w:t>57</w:t>
      </w:r>
      <w:r>
        <w:rPr>
          <w:rFonts w:eastAsia="Calibri" w:cs="Calibri"/>
          <w:sz w:val="24"/>
          <w:szCs w:val="24"/>
        </w:rPr>
        <w:t xml:space="preserve">%, до </w:t>
      </w:r>
      <w:r w:rsidR="00D377F4">
        <w:rPr>
          <w:rFonts w:eastAsia="Calibri" w:cs="Calibri"/>
          <w:sz w:val="24"/>
          <w:szCs w:val="24"/>
        </w:rPr>
        <w:t>0,8</w:t>
      </w:r>
      <w:r>
        <w:rPr>
          <w:rFonts w:eastAsia="Calibri" w:cs="Calibri"/>
          <w:sz w:val="24"/>
          <w:szCs w:val="24"/>
        </w:rPr>
        <w:t xml:space="preserve"> млн. лв. през </w:t>
      </w:r>
      <w:r w:rsidRPr="00313D6C">
        <w:rPr>
          <w:rFonts w:eastAsia="Calibri" w:cs="Calibri"/>
          <w:sz w:val="24"/>
          <w:szCs w:val="24"/>
        </w:rPr>
        <w:t xml:space="preserve"> </w:t>
      </w:r>
      <w:r>
        <w:rPr>
          <w:rFonts w:eastAsia="Calibri" w:cs="Calibri"/>
          <w:sz w:val="24"/>
          <w:szCs w:val="24"/>
        </w:rPr>
        <w:t xml:space="preserve">първо </w:t>
      </w:r>
      <w:r w:rsidR="00D377F4">
        <w:rPr>
          <w:rFonts w:eastAsia="Calibri" w:cs="Calibri"/>
          <w:sz w:val="24"/>
          <w:szCs w:val="24"/>
        </w:rPr>
        <w:t xml:space="preserve">полугодие </w:t>
      </w:r>
      <w:r>
        <w:rPr>
          <w:rFonts w:eastAsia="Calibri" w:cs="Calibri"/>
          <w:sz w:val="24"/>
          <w:szCs w:val="24"/>
        </w:rPr>
        <w:t xml:space="preserve">2017 г. </w:t>
      </w:r>
      <w:r w:rsidRPr="00AE6DEE">
        <w:rPr>
          <w:rFonts w:eastAsia="Calibri" w:cs="Calibri"/>
          <w:sz w:val="24"/>
          <w:szCs w:val="24"/>
        </w:rPr>
        <w:t>спрямо</w:t>
      </w:r>
      <w:r>
        <w:rPr>
          <w:rFonts w:eastAsia="Calibri" w:cs="Calibri"/>
          <w:sz w:val="24"/>
          <w:szCs w:val="24"/>
        </w:rPr>
        <w:t xml:space="preserve"> </w:t>
      </w:r>
      <w:r w:rsidR="00D377F4">
        <w:rPr>
          <w:rFonts w:eastAsia="Calibri" w:cs="Calibri"/>
          <w:sz w:val="24"/>
          <w:szCs w:val="24"/>
        </w:rPr>
        <w:t>1,9</w:t>
      </w:r>
      <w:r>
        <w:rPr>
          <w:rFonts w:eastAsia="Calibri" w:cs="Calibri"/>
          <w:sz w:val="24"/>
          <w:szCs w:val="24"/>
        </w:rPr>
        <w:t xml:space="preserve"> млн. лв. през първо </w:t>
      </w:r>
      <w:r w:rsidR="00D377F4">
        <w:rPr>
          <w:rFonts w:eastAsia="Calibri" w:cs="Calibri"/>
          <w:sz w:val="24"/>
          <w:szCs w:val="24"/>
        </w:rPr>
        <w:t xml:space="preserve">полугодие </w:t>
      </w:r>
      <w:r>
        <w:rPr>
          <w:rFonts w:eastAsia="Calibri" w:cs="Calibri"/>
          <w:sz w:val="24"/>
          <w:szCs w:val="24"/>
        </w:rPr>
        <w:t>2016</w:t>
      </w:r>
      <w:r w:rsidRPr="00313D6C">
        <w:rPr>
          <w:rFonts w:eastAsia="Calibri" w:cs="Calibri"/>
          <w:sz w:val="24"/>
          <w:szCs w:val="24"/>
        </w:rPr>
        <w:t xml:space="preserve"> </w:t>
      </w:r>
      <w:r>
        <w:rPr>
          <w:rFonts w:eastAsia="Calibri" w:cs="Calibri"/>
          <w:sz w:val="24"/>
          <w:szCs w:val="24"/>
        </w:rPr>
        <w:t xml:space="preserve">г. Това се дължи основно на намаление на разходите за лихви по получени заеми с </w:t>
      </w:r>
      <w:r w:rsidR="00D377F4">
        <w:rPr>
          <w:rFonts w:eastAsia="Calibri" w:cs="Calibri"/>
          <w:sz w:val="24"/>
          <w:szCs w:val="24"/>
        </w:rPr>
        <w:t>0,5</w:t>
      </w:r>
      <w:r>
        <w:rPr>
          <w:rFonts w:eastAsia="Calibri" w:cs="Calibri"/>
          <w:sz w:val="24"/>
          <w:szCs w:val="24"/>
        </w:rPr>
        <w:t xml:space="preserve"> млн. лв. </w:t>
      </w:r>
      <w:r w:rsidR="00D377F4">
        <w:rPr>
          <w:rFonts w:eastAsia="Calibri" w:cs="Calibri"/>
          <w:sz w:val="24"/>
          <w:szCs w:val="24"/>
        </w:rPr>
        <w:t>и обезценка на вземания по предоставени търговски заеми с 0,5 млн. лв.</w:t>
      </w:r>
    </w:p>
    <w:p w:rsidR="00F80195" w:rsidRDefault="00F80195" w:rsidP="00F80195">
      <w:pPr>
        <w:suppressAutoHyphens/>
        <w:autoSpaceDN w:val="0"/>
        <w:spacing w:before="40" w:after="40" w:line="240" w:lineRule="auto"/>
        <w:jc w:val="both"/>
        <w:textAlignment w:val="baseline"/>
        <w:rPr>
          <w:rFonts w:eastAsia="Calibri" w:cs="Calibri"/>
          <w:sz w:val="24"/>
          <w:szCs w:val="24"/>
        </w:rPr>
      </w:pPr>
      <w:r w:rsidRPr="00AE6DEE">
        <w:rPr>
          <w:rFonts w:eastAsia="Calibri" w:cs="Calibri"/>
          <w:i/>
          <w:sz w:val="24"/>
          <w:szCs w:val="24"/>
        </w:rPr>
        <w:t>Нетно финансовите приходи (разходи)</w:t>
      </w:r>
      <w:r>
        <w:rPr>
          <w:rFonts w:eastAsia="Calibri" w:cs="Calibri"/>
          <w:sz w:val="24"/>
          <w:szCs w:val="24"/>
        </w:rPr>
        <w:t xml:space="preserve"> се </w:t>
      </w:r>
      <w:r w:rsidR="00D377F4">
        <w:rPr>
          <w:rFonts w:eastAsia="Calibri" w:cs="Calibri"/>
          <w:sz w:val="24"/>
          <w:szCs w:val="24"/>
        </w:rPr>
        <w:t xml:space="preserve">намаляват </w:t>
      </w:r>
      <w:r>
        <w:rPr>
          <w:rFonts w:eastAsia="Calibri" w:cs="Calibri"/>
          <w:sz w:val="24"/>
          <w:szCs w:val="24"/>
        </w:rPr>
        <w:t xml:space="preserve">с </w:t>
      </w:r>
      <w:r w:rsidR="00D377F4">
        <w:rPr>
          <w:rFonts w:eastAsia="Calibri" w:cs="Calibri"/>
          <w:sz w:val="24"/>
          <w:szCs w:val="24"/>
        </w:rPr>
        <w:t>11,4</w:t>
      </w:r>
      <w:r>
        <w:rPr>
          <w:rFonts w:eastAsia="Calibri" w:cs="Calibri"/>
          <w:sz w:val="24"/>
          <w:szCs w:val="24"/>
        </w:rPr>
        <w:t xml:space="preserve"> млн. лв. до </w:t>
      </w:r>
      <w:r w:rsidR="00D377F4">
        <w:rPr>
          <w:rFonts w:eastAsia="Calibri" w:cs="Calibri"/>
          <w:sz w:val="24"/>
          <w:szCs w:val="24"/>
        </w:rPr>
        <w:t>9,5</w:t>
      </w:r>
      <w:r>
        <w:rPr>
          <w:rFonts w:eastAsia="Calibri" w:cs="Calibri"/>
          <w:sz w:val="24"/>
          <w:szCs w:val="24"/>
        </w:rPr>
        <w:t xml:space="preserve"> млн. </w:t>
      </w:r>
      <w:r w:rsidRPr="00AE6DEE">
        <w:rPr>
          <w:rFonts w:eastAsia="Calibri" w:cs="Calibri"/>
          <w:sz w:val="24"/>
          <w:szCs w:val="24"/>
        </w:rPr>
        <w:t xml:space="preserve">лв. </w:t>
      </w:r>
      <w:r>
        <w:rPr>
          <w:rFonts w:eastAsia="Calibri" w:cs="Calibri"/>
          <w:sz w:val="24"/>
          <w:szCs w:val="24"/>
        </w:rPr>
        <w:t>за</w:t>
      </w:r>
      <w:r w:rsidRPr="00EC0C5B">
        <w:rPr>
          <w:rFonts w:eastAsia="Calibri" w:cs="Calibri"/>
          <w:sz w:val="24"/>
          <w:szCs w:val="24"/>
          <w:lang w:val="ru-RU"/>
        </w:rPr>
        <w:t xml:space="preserve"> </w:t>
      </w:r>
      <w:r>
        <w:rPr>
          <w:rFonts w:eastAsia="Calibri" w:cs="Calibri"/>
          <w:sz w:val="24"/>
          <w:szCs w:val="24"/>
          <w:lang w:val="ru-RU"/>
        </w:rPr>
        <w:t xml:space="preserve">първо </w:t>
      </w:r>
      <w:r w:rsidR="00D377F4">
        <w:rPr>
          <w:rFonts w:eastAsia="Calibri" w:cs="Calibri"/>
          <w:sz w:val="24"/>
          <w:szCs w:val="24"/>
          <w:lang w:val="ru-RU"/>
        </w:rPr>
        <w:t xml:space="preserve">полугодие </w:t>
      </w:r>
      <w:r>
        <w:rPr>
          <w:rFonts w:eastAsia="Calibri" w:cs="Calibri"/>
          <w:sz w:val="24"/>
          <w:szCs w:val="24"/>
        </w:rPr>
        <w:t xml:space="preserve">2017 г., спрямо </w:t>
      </w:r>
      <w:r w:rsidR="00D377F4">
        <w:rPr>
          <w:rFonts w:eastAsia="Calibri" w:cs="Calibri"/>
          <w:sz w:val="24"/>
          <w:szCs w:val="24"/>
        </w:rPr>
        <w:t>20,9</w:t>
      </w:r>
      <w:r>
        <w:rPr>
          <w:rFonts w:eastAsia="Calibri" w:cs="Calibri"/>
          <w:sz w:val="24"/>
          <w:szCs w:val="24"/>
        </w:rPr>
        <w:t xml:space="preserve"> млн. лв. за първо </w:t>
      </w:r>
      <w:r w:rsidR="00D377F4">
        <w:rPr>
          <w:rFonts w:eastAsia="Calibri" w:cs="Calibri"/>
          <w:sz w:val="24"/>
          <w:szCs w:val="24"/>
        </w:rPr>
        <w:t xml:space="preserve">полугодие </w:t>
      </w:r>
      <w:r>
        <w:rPr>
          <w:rFonts w:eastAsia="Calibri" w:cs="Calibri"/>
          <w:sz w:val="24"/>
          <w:szCs w:val="24"/>
        </w:rPr>
        <w:t>2016 г.</w:t>
      </w:r>
    </w:p>
    <w:p w:rsidR="00F80195" w:rsidRDefault="00F80195" w:rsidP="00F80195">
      <w:pPr>
        <w:suppressAutoHyphens/>
        <w:autoSpaceDN w:val="0"/>
        <w:spacing w:before="40" w:after="40" w:line="240" w:lineRule="auto"/>
        <w:jc w:val="both"/>
        <w:textAlignment w:val="baseline"/>
        <w:rPr>
          <w:rFonts w:eastAsia="Calibri" w:cs="Calibri"/>
          <w:sz w:val="24"/>
          <w:szCs w:val="24"/>
        </w:rPr>
      </w:pPr>
    </w:p>
    <w:p w:rsidR="008B1BC1" w:rsidRDefault="008B1BC1" w:rsidP="00465BEF">
      <w:pPr>
        <w:suppressAutoHyphens/>
        <w:autoSpaceDN w:val="0"/>
        <w:spacing w:before="40" w:after="40" w:line="240" w:lineRule="auto"/>
        <w:jc w:val="both"/>
        <w:textAlignment w:val="baseline"/>
        <w:rPr>
          <w:rFonts w:eastAsia="Calibri" w:cs="Calibri"/>
          <w:i/>
          <w:color w:val="1F497D"/>
          <w:sz w:val="24"/>
          <w:szCs w:val="24"/>
          <w:lang w:eastAsia="en-US"/>
        </w:rPr>
      </w:pPr>
    </w:p>
    <w:p w:rsidR="008B1BC1" w:rsidRDefault="008B1BC1" w:rsidP="00465BEF">
      <w:pPr>
        <w:suppressAutoHyphens/>
        <w:autoSpaceDN w:val="0"/>
        <w:spacing w:before="40" w:after="40" w:line="240" w:lineRule="auto"/>
        <w:jc w:val="both"/>
        <w:textAlignment w:val="baseline"/>
        <w:rPr>
          <w:rFonts w:eastAsia="Calibri" w:cs="Calibri"/>
          <w:i/>
          <w:color w:val="1F497D"/>
          <w:sz w:val="24"/>
          <w:szCs w:val="24"/>
          <w:lang w:eastAsia="en-US"/>
        </w:rPr>
      </w:pPr>
    </w:p>
    <w:p w:rsidR="00C13AE1" w:rsidRDefault="00465BEF" w:rsidP="00465BEF">
      <w:pPr>
        <w:suppressAutoHyphens/>
        <w:autoSpaceDN w:val="0"/>
        <w:spacing w:before="40" w:after="40" w:line="240" w:lineRule="auto"/>
        <w:jc w:val="both"/>
        <w:textAlignment w:val="baseline"/>
        <w:rPr>
          <w:rFonts w:eastAsia="Calibri" w:cs="Calibri"/>
          <w:i/>
          <w:color w:val="1F497D"/>
          <w:sz w:val="24"/>
          <w:szCs w:val="24"/>
          <w:lang w:eastAsia="en-US"/>
        </w:rPr>
      </w:pPr>
      <w:r w:rsidRPr="00465BEF">
        <w:rPr>
          <w:rFonts w:eastAsia="Calibri" w:cs="Calibri"/>
          <w:i/>
          <w:color w:val="1F497D"/>
          <w:sz w:val="24"/>
          <w:szCs w:val="24"/>
          <w:lang w:eastAsia="en-US"/>
        </w:rPr>
        <w:t xml:space="preserve">Финансов резултат от дейността   </w:t>
      </w:r>
    </w:p>
    <w:p w:rsidR="00465BEF" w:rsidRPr="00465BEF" w:rsidRDefault="00465BEF" w:rsidP="00465BEF">
      <w:pPr>
        <w:suppressAutoHyphens/>
        <w:autoSpaceDN w:val="0"/>
        <w:spacing w:before="40" w:after="40" w:line="240" w:lineRule="auto"/>
        <w:jc w:val="both"/>
        <w:textAlignment w:val="baseline"/>
        <w:rPr>
          <w:rFonts w:eastAsia="Calibri" w:cs="Calibri"/>
          <w:b/>
          <w:color w:val="1F497D"/>
          <w:sz w:val="28"/>
          <w:szCs w:val="28"/>
          <w:lang w:val="en-US" w:eastAsia="en-US"/>
        </w:rPr>
      </w:pPr>
      <w:r w:rsidRPr="00465BEF">
        <w:rPr>
          <w:rFonts w:eastAsia="Calibri" w:cs="Calibri"/>
          <w:i/>
          <w:color w:val="1F497D"/>
          <w:sz w:val="24"/>
          <w:szCs w:val="24"/>
          <w:lang w:eastAsia="en-US"/>
        </w:rPr>
        <w:lastRenderedPageBreak/>
        <w:t xml:space="preserve">    </w:t>
      </w:r>
    </w:p>
    <w:p w:rsidR="00465BEF" w:rsidRPr="00465BEF" w:rsidRDefault="00465BEF" w:rsidP="00465BEF">
      <w:pPr>
        <w:suppressAutoHyphens/>
        <w:autoSpaceDN w:val="0"/>
        <w:spacing w:before="40" w:after="40" w:line="240" w:lineRule="auto"/>
        <w:jc w:val="both"/>
        <w:textAlignment w:val="baseline"/>
        <w:rPr>
          <w:rFonts w:eastAsia="Calibri" w:cs="Calibri"/>
          <w:b/>
          <w:color w:val="1F497D"/>
          <w:sz w:val="28"/>
          <w:szCs w:val="28"/>
          <w:lang w:eastAsia="en-US"/>
        </w:rPr>
      </w:pPr>
      <w:r w:rsidRPr="00465BEF">
        <w:rPr>
          <w:rFonts w:eastAsia="Calibri" w:cs="Calibri"/>
          <w:b/>
          <w:color w:val="1F497D"/>
          <w:sz w:val="28"/>
          <w:szCs w:val="28"/>
          <w:lang w:eastAsia="en-US"/>
        </w:rPr>
        <w:t xml:space="preserve">       </w:t>
      </w:r>
      <w:r w:rsidR="00D35C7E">
        <w:rPr>
          <w:rFonts w:eastAsia="Calibri"/>
          <w:noProof/>
        </w:rPr>
        <w:drawing>
          <wp:inline distT="0" distB="0" distL="0" distR="0" wp14:anchorId="26076F11" wp14:editId="063CA6E3">
            <wp:extent cx="5667375" cy="1339850"/>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65BEF">
        <w:rPr>
          <w:rFonts w:eastAsia="Calibri" w:cs="Calibri"/>
          <w:b/>
          <w:color w:val="1F497D"/>
          <w:sz w:val="28"/>
          <w:szCs w:val="28"/>
          <w:lang w:eastAsia="en-US"/>
        </w:rPr>
        <w:t xml:space="preserve">  </w:t>
      </w:r>
    </w:p>
    <w:p w:rsidR="00465BEF" w:rsidRPr="00465BEF" w:rsidRDefault="00465BEF" w:rsidP="00465BEF">
      <w:pPr>
        <w:widowControl w:val="0"/>
        <w:spacing w:before="40" w:after="40" w:line="240" w:lineRule="auto"/>
        <w:jc w:val="both"/>
        <w:rPr>
          <w:rFonts w:eastAsia="Calibri" w:cs="Calibri"/>
          <w:sz w:val="24"/>
          <w:szCs w:val="24"/>
          <w:lang w:eastAsia="en-US"/>
        </w:rPr>
      </w:pPr>
      <w:r w:rsidRPr="00465BEF">
        <w:rPr>
          <w:rFonts w:eastAsia="Calibri" w:cs="Calibri"/>
          <w:i/>
          <w:sz w:val="24"/>
          <w:szCs w:val="24"/>
          <w:lang w:eastAsia="en-US"/>
        </w:rPr>
        <w:t>Печалбата преди лихви, данъци и амортизации (EBITDA)</w:t>
      </w:r>
      <w:r w:rsidRPr="00465BEF">
        <w:rPr>
          <w:rFonts w:eastAsia="Calibri" w:cs="Calibri"/>
          <w:sz w:val="24"/>
          <w:szCs w:val="24"/>
          <w:lang w:eastAsia="en-US"/>
        </w:rPr>
        <w:t xml:space="preserve"> </w:t>
      </w:r>
      <w:r w:rsidR="004D6E7F">
        <w:rPr>
          <w:rFonts w:eastAsia="Calibri" w:cs="Calibri"/>
          <w:sz w:val="24"/>
          <w:szCs w:val="24"/>
          <w:lang w:eastAsia="en-US"/>
        </w:rPr>
        <w:t xml:space="preserve">през първото </w:t>
      </w:r>
      <w:r w:rsidR="00005FD5">
        <w:rPr>
          <w:rFonts w:eastAsia="Calibri" w:cs="Calibri"/>
          <w:sz w:val="24"/>
          <w:szCs w:val="24"/>
          <w:lang w:eastAsia="en-US"/>
        </w:rPr>
        <w:t xml:space="preserve">полугодие </w:t>
      </w:r>
      <w:r w:rsidR="004D6E7F">
        <w:rPr>
          <w:rFonts w:eastAsia="Calibri" w:cs="Calibri"/>
          <w:sz w:val="24"/>
          <w:szCs w:val="24"/>
          <w:lang w:eastAsia="en-US"/>
        </w:rPr>
        <w:t xml:space="preserve">на 2017 г. се </w:t>
      </w:r>
      <w:r w:rsidR="00005FD5">
        <w:rPr>
          <w:rFonts w:eastAsia="Calibri" w:cs="Calibri"/>
          <w:sz w:val="24"/>
          <w:szCs w:val="24"/>
          <w:lang w:eastAsia="en-US"/>
        </w:rPr>
        <w:t xml:space="preserve">увеличава с 10,7 млн. лв. или 50%, до 32 млн. лв., спрямо 21,3 млн. лв. през първото полугодие на 2016 г. </w:t>
      </w:r>
    </w:p>
    <w:p w:rsidR="007C2219" w:rsidRDefault="00465BEF" w:rsidP="00FE06D9">
      <w:pPr>
        <w:widowControl w:val="0"/>
        <w:spacing w:before="40" w:after="40" w:line="240" w:lineRule="auto"/>
        <w:jc w:val="both"/>
        <w:rPr>
          <w:rFonts w:eastAsia="Calibri" w:cs="Calibri"/>
          <w:i/>
          <w:sz w:val="24"/>
          <w:szCs w:val="24"/>
          <w:lang w:eastAsia="en-US"/>
        </w:rPr>
      </w:pPr>
      <w:r w:rsidRPr="00465BEF">
        <w:rPr>
          <w:rFonts w:eastAsia="Calibri" w:cs="Calibri"/>
          <w:i/>
          <w:sz w:val="24"/>
          <w:szCs w:val="24"/>
          <w:lang w:eastAsia="en-US"/>
        </w:rPr>
        <w:t>Печалбата от оперативна дейност</w:t>
      </w:r>
      <w:r w:rsidRPr="00465BEF">
        <w:rPr>
          <w:rFonts w:eastAsia="Calibri" w:cs="Calibri"/>
          <w:sz w:val="24"/>
          <w:szCs w:val="24"/>
          <w:lang w:eastAsia="en-US"/>
        </w:rPr>
        <w:t xml:space="preserve"> </w:t>
      </w:r>
      <w:r w:rsidR="00005FD5">
        <w:rPr>
          <w:rFonts w:eastAsia="Calibri" w:cs="Calibri"/>
          <w:sz w:val="24"/>
          <w:szCs w:val="24"/>
          <w:lang w:eastAsia="en-US"/>
        </w:rPr>
        <w:t>се увеличава</w:t>
      </w:r>
      <w:r w:rsidR="00005FD5" w:rsidRPr="00465BEF">
        <w:rPr>
          <w:rFonts w:eastAsia="Calibri" w:cs="Calibri"/>
          <w:sz w:val="24"/>
          <w:szCs w:val="24"/>
          <w:lang w:eastAsia="en-US"/>
        </w:rPr>
        <w:t xml:space="preserve"> </w:t>
      </w:r>
      <w:r w:rsidRPr="00465BEF">
        <w:rPr>
          <w:rFonts w:eastAsia="Calibri" w:cs="Calibri"/>
          <w:sz w:val="24"/>
          <w:szCs w:val="24"/>
          <w:lang w:eastAsia="en-US"/>
        </w:rPr>
        <w:t xml:space="preserve">с </w:t>
      </w:r>
      <w:r w:rsidR="00005FD5">
        <w:rPr>
          <w:rFonts w:eastAsia="Calibri" w:cs="Calibri"/>
          <w:sz w:val="24"/>
          <w:szCs w:val="24"/>
          <w:lang w:eastAsia="en-US"/>
        </w:rPr>
        <w:t>1</w:t>
      </w:r>
      <w:r w:rsidR="004D6E7F">
        <w:rPr>
          <w:rFonts w:eastAsia="Calibri" w:cs="Calibri"/>
          <w:sz w:val="24"/>
          <w:szCs w:val="24"/>
          <w:lang w:eastAsia="en-US"/>
        </w:rPr>
        <w:t>0</w:t>
      </w:r>
      <w:r w:rsidRPr="00465BEF">
        <w:rPr>
          <w:rFonts w:eastAsia="Calibri" w:cs="Calibri"/>
          <w:sz w:val="24"/>
          <w:szCs w:val="24"/>
          <w:lang w:eastAsia="en-US"/>
        </w:rPr>
        <w:t>,</w:t>
      </w:r>
      <w:r w:rsidR="00005FD5">
        <w:rPr>
          <w:rFonts w:eastAsia="Calibri" w:cs="Calibri"/>
          <w:sz w:val="24"/>
          <w:szCs w:val="24"/>
          <w:lang w:eastAsia="en-US"/>
        </w:rPr>
        <w:t>4</w:t>
      </w:r>
      <w:r w:rsidRPr="00465BEF">
        <w:rPr>
          <w:rFonts w:eastAsia="Calibri" w:cs="Calibri"/>
          <w:sz w:val="24"/>
          <w:szCs w:val="24"/>
          <w:lang w:eastAsia="en-US"/>
        </w:rPr>
        <w:t xml:space="preserve"> млн. лв. или с</w:t>
      </w:r>
      <w:r w:rsidR="00005FD5">
        <w:rPr>
          <w:rFonts w:eastAsia="Calibri" w:cs="Calibri"/>
          <w:sz w:val="24"/>
          <w:szCs w:val="24"/>
          <w:lang w:eastAsia="en-US"/>
        </w:rPr>
        <w:t>ъс</w:t>
      </w:r>
      <w:r w:rsidRPr="00465BEF">
        <w:rPr>
          <w:rFonts w:eastAsia="Calibri" w:cs="Calibri"/>
          <w:sz w:val="24"/>
          <w:szCs w:val="24"/>
          <w:lang w:eastAsia="en-US"/>
        </w:rPr>
        <w:t xml:space="preserve"> </w:t>
      </w:r>
      <w:r w:rsidR="00005FD5">
        <w:rPr>
          <w:rFonts w:eastAsia="Calibri" w:cs="Calibri"/>
          <w:sz w:val="24"/>
          <w:szCs w:val="24"/>
          <w:lang w:eastAsia="en-US"/>
        </w:rPr>
        <w:t>72</w:t>
      </w:r>
      <w:r w:rsidRPr="00465BEF">
        <w:rPr>
          <w:rFonts w:eastAsia="Calibri" w:cs="Calibri"/>
          <w:sz w:val="24"/>
          <w:szCs w:val="24"/>
          <w:lang w:eastAsia="en-US"/>
        </w:rPr>
        <w:t>,</w:t>
      </w:r>
      <w:r w:rsidR="00F10C01">
        <w:rPr>
          <w:rFonts w:eastAsia="Calibri" w:cs="Calibri"/>
          <w:sz w:val="24"/>
          <w:szCs w:val="24"/>
          <w:lang w:eastAsia="en-US"/>
        </w:rPr>
        <w:t>6</w:t>
      </w:r>
      <w:r w:rsidRPr="00465BEF">
        <w:rPr>
          <w:rFonts w:eastAsia="Calibri" w:cs="Calibri"/>
          <w:sz w:val="24"/>
          <w:szCs w:val="24"/>
          <w:lang w:eastAsia="en-US"/>
        </w:rPr>
        <w:t xml:space="preserve">%, до </w:t>
      </w:r>
      <w:r w:rsidR="00F10C01">
        <w:rPr>
          <w:rFonts w:eastAsia="Calibri" w:cs="Calibri"/>
          <w:sz w:val="24"/>
          <w:szCs w:val="24"/>
          <w:lang w:eastAsia="en-US"/>
        </w:rPr>
        <w:t>24</w:t>
      </w:r>
      <w:r w:rsidRPr="00465BEF">
        <w:rPr>
          <w:rFonts w:eastAsia="Calibri" w:cs="Calibri"/>
          <w:sz w:val="24"/>
          <w:szCs w:val="24"/>
          <w:lang w:eastAsia="en-US"/>
        </w:rPr>
        <w:t>,</w:t>
      </w:r>
      <w:r w:rsidR="00F10C01">
        <w:rPr>
          <w:rFonts w:eastAsia="Calibri" w:cs="Calibri"/>
          <w:sz w:val="24"/>
          <w:szCs w:val="24"/>
          <w:lang w:eastAsia="en-US"/>
        </w:rPr>
        <w:t>7</w:t>
      </w:r>
      <w:r w:rsidRPr="00465BEF">
        <w:rPr>
          <w:rFonts w:eastAsia="Calibri" w:cs="Calibri"/>
          <w:sz w:val="24"/>
          <w:szCs w:val="24"/>
          <w:lang w:eastAsia="en-US"/>
        </w:rPr>
        <w:t xml:space="preserve"> млн. лв. </w:t>
      </w:r>
      <w:r w:rsidR="00CD154F">
        <w:rPr>
          <w:rFonts w:eastAsia="Calibri" w:cs="Calibri"/>
          <w:sz w:val="24"/>
          <w:szCs w:val="24"/>
          <w:lang w:eastAsia="en-US"/>
        </w:rPr>
        <w:t>през</w:t>
      </w:r>
      <w:r w:rsidRPr="00465BEF">
        <w:rPr>
          <w:rFonts w:eastAsia="Calibri" w:cs="Calibri"/>
          <w:sz w:val="24"/>
          <w:szCs w:val="24"/>
          <w:lang w:eastAsia="en-US"/>
        </w:rPr>
        <w:t xml:space="preserve"> </w:t>
      </w:r>
      <w:r w:rsidR="004D6E7F">
        <w:rPr>
          <w:rFonts w:eastAsia="Calibri" w:cs="Calibri"/>
          <w:sz w:val="24"/>
          <w:szCs w:val="24"/>
          <w:lang w:eastAsia="en-US"/>
        </w:rPr>
        <w:t xml:space="preserve">първото </w:t>
      </w:r>
      <w:r w:rsidR="00F10C01">
        <w:rPr>
          <w:rFonts w:eastAsia="Calibri" w:cs="Calibri"/>
          <w:sz w:val="24"/>
          <w:szCs w:val="24"/>
          <w:lang w:eastAsia="en-US"/>
        </w:rPr>
        <w:t xml:space="preserve">полугодие </w:t>
      </w:r>
      <w:r w:rsidR="004D6E7F">
        <w:rPr>
          <w:rFonts w:eastAsia="Calibri" w:cs="Calibri"/>
          <w:sz w:val="24"/>
          <w:szCs w:val="24"/>
          <w:lang w:eastAsia="en-US"/>
        </w:rPr>
        <w:t xml:space="preserve">на </w:t>
      </w:r>
      <w:r w:rsidRPr="00465BEF">
        <w:rPr>
          <w:rFonts w:eastAsia="Calibri" w:cs="Calibri"/>
          <w:sz w:val="24"/>
          <w:szCs w:val="24"/>
          <w:lang w:eastAsia="en-US"/>
        </w:rPr>
        <w:t>201</w:t>
      </w:r>
      <w:r w:rsidR="004D6E7F">
        <w:rPr>
          <w:rFonts w:eastAsia="Calibri" w:cs="Calibri"/>
          <w:sz w:val="24"/>
          <w:szCs w:val="24"/>
          <w:lang w:eastAsia="en-US"/>
        </w:rPr>
        <w:t>7</w:t>
      </w:r>
      <w:r w:rsidRPr="00465BEF">
        <w:rPr>
          <w:rFonts w:eastAsia="Calibri" w:cs="Calibri"/>
          <w:sz w:val="24"/>
          <w:szCs w:val="24"/>
          <w:lang w:eastAsia="en-US"/>
        </w:rPr>
        <w:t xml:space="preserve"> г., спрямо </w:t>
      </w:r>
      <w:r w:rsidR="004D6E7F">
        <w:rPr>
          <w:rFonts w:eastAsia="Calibri" w:cs="Calibri"/>
          <w:sz w:val="24"/>
          <w:szCs w:val="24"/>
          <w:lang w:eastAsia="en-US"/>
        </w:rPr>
        <w:t>1</w:t>
      </w:r>
      <w:r w:rsidR="00F10C01">
        <w:rPr>
          <w:rFonts w:eastAsia="Calibri" w:cs="Calibri"/>
          <w:sz w:val="24"/>
          <w:szCs w:val="24"/>
          <w:lang w:eastAsia="en-US"/>
        </w:rPr>
        <w:t>4,3</w:t>
      </w:r>
      <w:r w:rsidRPr="00465BEF">
        <w:rPr>
          <w:rFonts w:eastAsia="Calibri" w:cs="Calibri"/>
          <w:sz w:val="24"/>
          <w:szCs w:val="24"/>
          <w:lang w:eastAsia="en-US"/>
        </w:rPr>
        <w:t xml:space="preserve"> млн. лв. </w:t>
      </w:r>
      <w:r w:rsidR="00CD154F">
        <w:rPr>
          <w:rFonts w:eastAsia="Calibri" w:cs="Calibri"/>
          <w:sz w:val="24"/>
          <w:szCs w:val="24"/>
          <w:lang w:eastAsia="en-US"/>
        </w:rPr>
        <w:t>през</w:t>
      </w:r>
      <w:r w:rsidRPr="00465BEF">
        <w:rPr>
          <w:rFonts w:eastAsia="Calibri" w:cs="Calibri"/>
          <w:sz w:val="24"/>
          <w:szCs w:val="24"/>
          <w:lang w:eastAsia="en-US"/>
        </w:rPr>
        <w:t xml:space="preserve"> </w:t>
      </w:r>
      <w:r w:rsidR="004D6E7F">
        <w:rPr>
          <w:rFonts w:eastAsia="Calibri" w:cs="Calibri"/>
          <w:sz w:val="24"/>
          <w:szCs w:val="24"/>
          <w:lang w:eastAsia="en-US"/>
        </w:rPr>
        <w:t xml:space="preserve">първото </w:t>
      </w:r>
      <w:r w:rsidR="00F10C01">
        <w:rPr>
          <w:rFonts w:eastAsia="Calibri" w:cs="Calibri"/>
          <w:sz w:val="24"/>
          <w:szCs w:val="24"/>
          <w:lang w:eastAsia="en-US"/>
        </w:rPr>
        <w:t xml:space="preserve">полугодие </w:t>
      </w:r>
      <w:r w:rsidR="004D6E7F">
        <w:rPr>
          <w:rFonts w:eastAsia="Calibri" w:cs="Calibri"/>
          <w:sz w:val="24"/>
          <w:szCs w:val="24"/>
          <w:lang w:eastAsia="en-US"/>
        </w:rPr>
        <w:t xml:space="preserve">на </w:t>
      </w:r>
      <w:r w:rsidRPr="00465BEF">
        <w:rPr>
          <w:rFonts w:eastAsia="Calibri" w:cs="Calibri"/>
          <w:sz w:val="24"/>
          <w:szCs w:val="24"/>
          <w:lang w:eastAsia="en-US"/>
        </w:rPr>
        <w:t>201</w:t>
      </w:r>
      <w:r w:rsidR="004D6E7F">
        <w:rPr>
          <w:rFonts w:eastAsia="Calibri" w:cs="Calibri"/>
          <w:sz w:val="24"/>
          <w:szCs w:val="24"/>
          <w:lang w:eastAsia="en-US"/>
        </w:rPr>
        <w:t>6</w:t>
      </w:r>
      <w:r w:rsidRPr="00465BEF">
        <w:rPr>
          <w:rFonts w:eastAsia="Calibri" w:cs="Calibri"/>
          <w:sz w:val="24"/>
          <w:szCs w:val="24"/>
          <w:lang w:eastAsia="en-US"/>
        </w:rPr>
        <w:t xml:space="preserve"> г. </w:t>
      </w:r>
    </w:p>
    <w:p w:rsidR="00465BEF" w:rsidRPr="00465BEF" w:rsidRDefault="00465BEF" w:rsidP="00FE06D9">
      <w:pPr>
        <w:widowControl w:val="0"/>
        <w:spacing w:before="40" w:after="40" w:line="240" w:lineRule="auto"/>
        <w:jc w:val="both"/>
        <w:rPr>
          <w:rFonts w:eastAsia="Calibri" w:cs="Calibri"/>
          <w:b/>
          <w:color w:val="1F497D"/>
          <w:sz w:val="28"/>
          <w:szCs w:val="28"/>
          <w:lang w:val="en-US"/>
        </w:rPr>
      </w:pPr>
      <w:r w:rsidRPr="00465BEF">
        <w:rPr>
          <w:rFonts w:eastAsia="Calibri" w:cs="Calibri"/>
          <w:i/>
          <w:sz w:val="24"/>
          <w:szCs w:val="24"/>
          <w:lang w:eastAsia="en-US"/>
        </w:rPr>
        <w:t>Нетната печалба</w:t>
      </w:r>
      <w:r w:rsidRPr="00465BEF">
        <w:rPr>
          <w:rFonts w:eastAsia="Calibri" w:cs="Calibri"/>
          <w:sz w:val="24"/>
          <w:szCs w:val="24"/>
          <w:lang w:eastAsia="en-US"/>
        </w:rPr>
        <w:t xml:space="preserve"> </w:t>
      </w:r>
      <w:r w:rsidR="00F10C01">
        <w:rPr>
          <w:rFonts w:eastAsia="Calibri" w:cs="Calibri"/>
          <w:sz w:val="24"/>
          <w:szCs w:val="24"/>
          <w:lang w:eastAsia="en-US"/>
        </w:rPr>
        <w:t>намалява</w:t>
      </w:r>
      <w:r w:rsidRPr="00465BEF">
        <w:rPr>
          <w:rFonts w:eastAsia="Calibri" w:cs="Calibri"/>
          <w:sz w:val="24"/>
          <w:szCs w:val="24"/>
          <w:lang w:eastAsia="en-US"/>
        </w:rPr>
        <w:t xml:space="preserve"> с </w:t>
      </w:r>
      <w:r w:rsidR="00F10C01">
        <w:rPr>
          <w:rFonts w:eastAsia="Calibri" w:cs="Calibri"/>
          <w:sz w:val="24"/>
          <w:szCs w:val="24"/>
          <w:lang w:eastAsia="en-US"/>
        </w:rPr>
        <w:t>2</w:t>
      </w:r>
      <w:r w:rsidR="004D6E7F">
        <w:rPr>
          <w:rFonts w:eastAsia="Calibri" w:cs="Calibri"/>
          <w:sz w:val="24"/>
          <w:szCs w:val="24"/>
          <w:lang w:eastAsia="en-US"/>
        </w:rPr>
        <w:t>,</w:t>
      </w:r>
      <w:r w:rsidR="00F10C01">
        <w:rPr>
          <w:rFonts w:eastAsia="Calibri" w:cs="Calibri"/>
          <w:sz w:val="24"/>
          <w:szCs w:val="24"/>
          <w:lang w:eastAsia="en-US"/>
        </w:rPr>
        <w:t>1</w:t>
      </w:r>
      <w:r w:rsidRPr="00465BEF">
        <w:rPr>
          <w:rFonts w:eastAsia="Calibri" w:cs="Calibri"/>
          <w:sz w:val="24"/>
          <w:szCs w:val="24"/>
          <w:lang w:eastAsia="en-US"/>
        </w:rPr>
        <w:t xml:space="preserve"> млн. лв. или с </w:t>
      </w:r>
      <w:r w:rsidR="00F10C01">
        <w:rPr>
          <w:rFonts w:eastAsia="Calibri" w:cs="Calibri"/>
          <w:sz w:val="24"/>
          <w:szCs w:val="24"/>
          <w:lang w:eastAsia="en-US"/>
        </w:rPr>
        <w:t>6</w:t>
      </w:r>
      <w:r w:rsidR="004D6E7F">
        <w:rPr>
          <w:rFonts w:eastAsia="Calibri" w:cs="Calibri"/>
          <w:sz w:val="24"/>
          <w:szCs w:val="24"/>
          <w:lang w:eastAsia="en-US"/>
        </w:rPr>
        <w:t>,</w:t>
      </w:r>
      <w:r w:rsidR="00F10C01">
        <w:rPr>
          <w:rFonts w:eastAsia="Calibri" w:cs="Calibri"/>
          <w:sz w:val="24"/>
          <w:szCs w:val="24"/>
          <w:lang w:eastAsia="en-US"/>
        </w:rPr>
        <w:t>3</w:t>
      </w:r>
      <w:r w:rsidRPr="00465BEF">
        <w:rPr>
          <w:rFonts w:eastAsia="Calibri" w:cs="Calibri"/>
          <w:sz w:val="24"/>
          <w:szCs w:val="24"/>
          <w:lang w:eastAsia="en-US"/>
        </w:rPr>
        <w:t xml:space="preserve">%, до </w:t>
      </w:r>
      <w:r w:rsidR="00F10C01">
        <w:rPr>
          <w:rFonts w:eastAsia="Calibri" w:cs="Calibri"/>
          <w:sz w:val="24"/>
          <w:szCs w:val="24"/>
          <w:lang w:eastAsia="en-US"/>
        </w:rPr>
        <w:t>31,6</w:t>
      </w:r>
      <w:r w:rsidRPr="00465BEF">
        <w:rPr>
          <w:rFonts w:eastAsia="Calibri" w:cs="Calibri"/>
          <w:sz w:val="24"/>
          <w:szCs w:val="24"/>
          <w:lang w:eastAsia="en-US"/>
        </w:rPr>
        <w:t xml:space="preserve"> млн. лв. </w:t>
      </w:r>
      <w:r w:rsidR="00CD154F">
        <w:rPr>
          <w:rFonts w:eastAsia="Calibri" w:cs="Calibri"/>
          <w:sz w:val="24"/>
          <w:szCs w:val="24"/>
          <w:lang w:eastAsia="en-US"/>
        </w:rPr>
        <w:t>през</w:t>
      </w:r>
      <w:r w:rsidRPr="00465BEF">
        <w:rPr>
          <w:rFonts w:eastAsia="Calibri" w:cs="Calibri"/>
          <w:sz w:val="24"/>
          <w:szCs w:val="24"/>
          <w:lang w:eastAsia="en-US"/>
        </w:rPr>
        <w:t xml:space="preserve"> </w:t>
      </w:r>
      <w:r w:rsidR="004D6E7F">
        <w:rPr>
          <w:rFonts w:eastAsia="Calibri" w:cs="Calibri"/>
          <w:sz w:val="24"/>
          <w:szCs w:val="24"/>
          <w:lang w:eastAsia="en-US"/>
        </w:rPr>
        <w:t xml:space="preserve">първото </w:t>
      </w:r>
      <w:r w:rsidR="00F10C01">
        <w:rPr>
          <w:rFonts w:eastAsia="Calibri" w:cs="Calibri"/>
          <w:sz w:val="24"/>
          <w:szCs w:val="24"/>
          <w:lang w:eastAsia="en-US"/>
        </w:rPr>
        <w:t xml:space="preserve">полугодие </w:t>
      </w:r>
      <w:r w:rsidR="004D6E7F">
        <w:rPr>
          <w:rFonts w:eastAsia="Calibri" w:cs="Calibri"/>
          <w:sz w:val="24"/>
          <w:szCs w:val="24"/>
          <w:lang w:eastAsia="en-US"/>
        </w:rPr>
        <w:t xml:space="preserve">на </w:t>
      </w:r>
      <w:r w:rsidRPr="00465BEF">
        <w:rPr>
          <w:rFonts w:eastAsia="Calibri" w:cs="Calibri"/>
          <w:sz w:val="24"/>
          <w:szCs w:val="24"/>
          <w:lang w:eastAsia="en-US"/>
        </w:rPr>
        <w:t>201</w:t>
      </w:r>
      <w:r w:rsidR="004D6E7F">
        <w:rPr>
          <w:rFonts w:eastAsia="Calibri" w:cs="Calibri"/>
          <w:sz w:val="24"/>
          <w:szCs w:val="24"/>
          <w:lang w:eastAsia="en-US"/>
        </w:rPr>
        <w:t>7</w:t>
      </w:r>
      <w:r w:rsidRPr="00465BEF">
        <w:rPr>
          <w:rFonts w:eastAsia="Calibri" w:cs="Calibri"/>
          <w:sz w:val="24"/>
          <w:szCs w:val="24"/>
          <w:lang w:eastAsia="en-US"/>
        </w:rPr>
        <w:t xml:space="preserve"> г. в сравнение с </w:t>
      </w:r>
      <w:r w:rsidR="00F10C01">
        <w:rPr>
          <w:rFonts w:eastAsia="Calibri" w:cs="Calibri"/>
          <w:sz w:val="24"/>
          <w:szCs w:val="24"/>
          <w:lang w:eastAsia="en-US"/>
        </w:rPr>
        <w:t>33</w:t>
      </w:r>
      <w:r w:rsidR="004D6E7F">
        <w:rPr>
          <w:rFonts w:eastAsia="Calibri" w:cs="Calibri"/>
          <w:sz w:val="24"/>
          <w:szCs w:val="24"/>
          <w:lang w:eastAsia="en-US"/>
        </w:rPr>
        <w:t>,</w:t>
      </w:r>
      <w:r w:rsidR="00F10C01">
        <w:rPr>
          <w:rFonts w:eastAsia="Calibri" w:cs="Calibri"/>
          <w:sz w:val="24"/>
          <w:szCs w:val="24"/>
          <w:lang w:eastAsia="en-US"/>
        </w:rPr>
        <w:t>7</w:t>
      </w:r>
      <w:r w:rsidRPr="00465BEF">
        <w:rPr>
          <w:rFonts w:eastAsia="Calibri" w:cs="Calibri"/>
          <w:sz w:val="24"/>
          <w:szCs w:val="24"/>
          <w:lang w:eastAsia="en-US"/>
        </w:rPr>
        <w:t xml:space="preserve"> млн. лв. </w:t>
      </w:r>
      <w:r w:rsidR="00CD154F">
        <w:rPr>
          <w:rFonts w:eastAsia="Calibri" w:cs="Calibri"/>
          <w:sz w:val="24"/>
          <w:szCs w:val="24"/>
          <w:lang w:eastAsia="en-US"/>
        </w:rPr>
        <w:t>през</w:t>
      </w:r>
      <w:r w:rsidRPr="00465BEF">
        <w:rPr>
          <w:rFonts w:eastAsia="Calibri" w:cs="Calibri"/>
          <w:sz w:val="24"/>
          <w:szCs w:val="24"/>
          <w:lang w:eastAsia="en-US"/>
        </w:rPr>
        <w:t xml:space="preserve"> </w:t>
      </w:r>
      <w:r w:rsidR="004D6E7F">
        <w:rPr>
          <w:rFonts w:eastAsia="Calibri" w:cs="Calibri"/>
          <w:sz w:val="24"/>
          <w:szCs w:val="24"/>
          <w:lang w:eastAsia="en-US"/>
        </w:rPr>
        <w:t xml:space="preserve">първото </w:t>
      </w:r>
      <w:r w:rsidR="00F10C01">
        <w:rPr>
          <w:rFonts w:eastAsia="Calibri" w:cs="Calibri"/>
          <w:sz w:val="24"/>
          <w:szCs w:val="24"/>
          <w:lang w:eastAsia="en-US"/>
        </w:rPr>
        <w:t xml:space="preserve">полугодие </w:t>
      </w:r>
      <w:r w:rsidR="004D6E7F">
        <w:rPr>
          <w:rFonts w:eastAsia="Calibri" w:cs="Calibri"/>
          <w:sz w:val="24"/>
          <w:szCs w:val="24"/>
          <w:lang w:eastAsia="en-US"/>
        </w:rPr>
        <w:t xml:space="preserve">на </w:t>
      </w:r>
      <w:r w:rsidRPr="00465BEF">
        <w:rPr>
          <w:rFonts w:eastAsia="Calibri" w:cs="Calibri"/>
          <w:sz w:val="24"/>
          <w:szCs w:val="24"/>
          <w:lang w:eastAsia="en-US"/>
        </w:rPr>
        <w:t>201</w:t>
      </w:r>
      <w:r w:rsidR="004D6E7F">
        <w:rPr>
          <w:rFonts w:eastAsia="Calibri" w:cs="Calibri"/>
          <w:sz w:val="24"/>
          <w:szCs w:val="24"/>
          <w:lang w:eastAsia="en-US"/>
        </w:rPr>
        <w:t>6</w:t>
      </w:r>
      <w:r w:rsidRPr="00465BEF">
        <w:rPr>
          <w:rFonts w:eastAsia="Calibri" w:cs="Calibri"/>
          <w:sz w:val="24"/>
          <w:szCs w:val="24"/>
          <w:lang w:eastAsia="en-US"/>
        </w:rPr>
        <w:t xml:space="preserve"> г.</w:t>
      </w:r>
      <w:r w:rsidRPr="00465BEF" w:rsidDel="00941845">
        <w:rPr>
          <w:rFonts w:eastAsia="Calibri" w:cs="Calibri"/>
          <w:i/>
          <w:sz w:val="24"/>
          <w:szCs w:val="24"/>
          <w:lang w:eastAsia="en-US"/>
        </w:rPr>
        <w:t xml:space="preserve"> </w:t>
      </w:r>
    </w:p>
    <w:p w:rsidR="001917EC" w:rsidRDefault="001917EC" w:rsidP="00F80195">
      <w:pPr>
        <w:suppressAutoHyphens/>
        <w:autoSpaceDN w:val="0"/>
        <w:spacing w:before="40" w:after="40" w:line="240" w:lineRule="auto"/>
        <w:jc w:val="both"/>
        <w:textAlignment w:val="baseline"/>
        <w:rPr>
          <w:rFonts w:eastAsia="Calibri" w:cs="Calibri"/>
          <w:i/>
          <w:color w:val="1F497D"/>
          <w:sz w:val="24"/>
          <w:szCs w:val="24"/>
        </w:rPr>
      </w:pPr>
    </w:p>
    <w:p w:rsidR="00F80195" w:rsidRDefault="00CA63B3" w:rsidP="00F80195">
      <w:pPr>
        <w:suppressAutoHyphens/>
        <w:autoSpaceDN w:val="0"/>
        <w:spacing w:before="40" w:after="40" w:line="240" w:lineRule="auto"/>
        <w:jc w:val="both"/>
        <w:textAlignment w:val="baseline"/>
        <w:rPr>
          <w:rFonts w:eastAsia="Calibri" w:cs="Calibri"/>
          <w:sz w:val="24"/>
          <w:szCs w:val="24"/>
        </w:rPr>
      </w:pPr>
      <w:r w:rsidRPr="001B413B">
        <w:rPr>
          <w:rFonts w:eastAsia="Calibri" w:cs="Calibri"/>
          <w:i/>
          <w:color w:val="1F497D"/>
          <w:sz w:val="24"/>
          <w:szCs w:val="24"/>
        </w:rPr>
        <w:t>Активи</w:t>
      </w:r>
      <w:r w:rsidR="00F80195" w:rsidRPr="00F80195">
        <w:rPr>
          <w:rFonts w:eastAsia="Calibri" w:cs="Calibri"/>
          <w:sz w:val="24"/>
          <w:szCs w:val="24"/>
        </w:rPr>
        <w:t xml:space="preserve"> </w:t>
      </w:r>
    </w:p>
    <w:p w:rsidR="00946D28" w:rsidRDefault="00946D28" w:rsidP="00F80195">
      <w:pPr>
        <w:suppressAutoHyphens/>
        <w:autoSpaceDN w:val="0"/>
        <w:spacing w:before="40" w:after="40" w:line="240" w:lineRule="auto"/>
        <w:jc w:val="both"/>
        <w:textAlignment w:val="baseline"/>
        <w:rPr>
          <w:rFonts w:eastAsia="Calibri" w:cs="Calibri"/>
          <w:sz w:val="24"/>
          <w:szCs w:val="24"/>
        </w:rPr>
      </w:pPr>
    </w:p>
    <w:tbl>
      <w:tblPr>
        <w:tblW w:w="9360" w:type="dxa"/>
        <w:tblInd w:w="70" w:type="dxa"/>
        <w:tblCellMar>
          <w:left w:w="70" w:type="dxa"/>
          <w:right w:w="70" w:type="dxa"/>
        </w:tblCellMar>
        <w:tblLook w:val="04A0" w:firstRow="1" w:lastRow="0" w:firstColumn="1" w:lastColumn="0" w:noHBand="0" w:noVBand="1"/>
      </w:tblPr>
      <w:tblGrid>
        <w:gridCol w:w="4761"/>
        <w:gridCol w:w="1158"/>
        <w:gridCol w:w="1158"/>
        <w:gridCol w:w="1158"/>
        <w:gridCol w:w="1125"/>
      </w:tblGrid>
      <w:tr w:rsidR="00173C1E" w:rsidRPr="00173C1E" w:rsidTr="00893A2E">
        <w:trPr>
          <w:trHeight w:val="512"/>
        </w:trPr>
        <w:tc>
          <w:tcPr>
            <w:tcW w:w="4761" w:type="dxa"/>
            <w:vMerge w:val="restart"/>
            <w:tcBorders>
              <w:top w:val="nil"/>
              <w:left w:val="nil"/>
              <w:bottom w:val="nil"/>
              <w:right w:val="nil"/>
            </w:tcBorders>
            <w:shd w:val="clear" w:color="auto" w:fill="auto"/>
            <w:vAlign w:val="bottom"/>
            <w:hideMark/>
          </w:tcPr>
          <w:p w:rsidR="00173C1E" w:rsidRPr="00173C1E" w:rsidRDefault="00173C1E" w:rsidP="00173C1E">
            <w:pPr>
              <w:spacing w:after="0" w:line="240" w:lineRule="auto"/>
              <w:jc w:val="center"/>
              <w:rPr>
                <w:rFonts w:eastAsia="Times New Roman" w:cs="Arial"/>
                <w:b/>
                <w:bCs/>
                <w:sz w:val="20"/>
                <w:szCs w:val="20"/>
              </w:rPr>
            </w:pPr>
            <w:r w:rsidRPr="00173C1E">
              <w:rPr>
                <w:rFonts w:eastAsia="Times New Roman" w:cs="Arial"/>
                <w:b/>
                <w:bCs/>
                <w:sz w:val="20"/>
                <w:szCs w:val="20"/>
              </w:rPr>
              <w:t>Нетекущи активи</w:t>
            </w:r>
          </w:p>
        </w:tc>
        <w:tc>
          <w:tcPr>
            <w:tcW w:w="1158" w:type="dxa"/>
            <w:tcBorders>
              <w:top w:val="nil"/>
              <w:left w:val="nil"/>
              <w:bottom w:val="nil"/>
              <w:right w:val="nil"/>
            </w:tcBorders>
            <w:shd w:val="clear" w:color="000000" w:fill="DCE6F1"/>
            <w:noWrap/>
            <w:vAlign w:val="center"/>
            <w:hideMark/>
          </w:tcPr>
          <w:p w:rsidR="00173C1E" w:rsidRPr="00173C1E" w:rsidRDefault="00173C1E" w:rsidP="008659B5">
            <w:pPr>
              <w:spacing w:after="0" w:line="240" w:lineRule="auto"/>
              <w:jc w:val="right"/>
              <w:rPr>
                <w:rFonts w:eastAsia="Times New Roman" w:cs="Arial"/>
                <w:b/>
                <w:bCs/>
                <w:sz w:val="20"/>
                <w:szCs w:val="20"/>
              </w:rPr>
            </w:pPr>
            <w:r w:rsidRPr="00173C1E">
              <w:rPr>
                <w:rFonts w:eastAsia="Times New Roman" w:cs="Arial"/>
                <w:b/>
                <w:bCs/>
                <w:sz w:val="20"/>
                <w:szCs w:val="20"/>
              </w:rPr>
              <w:t>30.06.2017</w:t>
            </w:r>
          </w:p>
        </w:tc>
        <w:tc>
          <w:tcPr>
            <w:tcW w:w="1158" w:type="dxa"/>
            <w:tcBorders>
              <w:top w:val="nil"/>
              <w:left w:val="nil"/>
              <w:bottom w:val="nil"/>
              <w:right w:val="nil"/>
            </w:tcBorders>
            <w:shd w:val="clear" w:color="000000" w:fill="C5D9F1"/>
            <w:noWrap/>
            <w:vAlign w:val="center"/>
            <w:hideMark/>
          </w:tcPr>
          <w:p w:rsidR="00173C1E" w:rsidRPr="00173C1E" w:rsidRDefault="00173C1E">
            <w:pPr>
              <w:spacing w:after="0" w:line="240" w:lineRule="auto"/>
              <w:jc w:val="right"/>
              <w:rPr>
                <w:rFonts w:eastAsia="Times New Roman" w:cs="Arial"/>
                <w:b/>
                <w:bCs/>
                <w:sz w:val="20"/>
                <w:szCs w:val="20"/>
              </w:rPr>
            </w:pPr>
            <w:r w:rsidRPr="00173C1E">
              <w:rPr>
                <w:rFonts w:eastAsia="Times New Roman" w:cs="Arial"/>
                <w:b/>
                <w:bCs/>
                <w:sz w:val="20"/>
                <w:szCs w:val="20"/>
              </w:rPr>
              <w:t>31.12.2016</w:t>
            </w:r>
          </w:p>
        </w:tc>
        <w:tc>
          <w:tcPr>
            <w:tcW w:w="1158" w:type="dxa"/>
            <w:tcBorders>
              <w:top w:val="nil"/>
              <w:left w:val="nil"/>
              <w:bottom w:val="nil"/>
              <w:right w:val="nil"/>
            </w:tcBorders>
            <w:shd w:val="clear" w:color="auto" w:fill="auto"/>
            <w:noWrap/>
            <w:vAlign w:val="bottom"/>
            <w:hideMark/>
          </w:tcPr>
          <w:p w:rsidR="00173C1E" w:rsidRPr="00173C1E" w:rsidRDefault="00173C1E" w:rsidP="00893A2E">
            <w:pPr>
              <w:spacing w:after="0" w:line="240" w:lineRule="auto"/>
              <w:jc w:val="right"/>
              <w:rPr>
                <w:rFonts w:eastAsia="Times New Roman" w:cs="Arial"/>
                <w:b/>
                <w:bCs/>
                <w:sz w:val="20"/>
                <w:szCs w:val="20"/>
              </w:rPr>
            </w:pPr>
            <w:r w:rsidRPr="00173C1E">
              <w:rPr>
                <w:rFonts w:eastAsia="Times New Roman" w:cs="Arial"/>
                <w:b/>
                <w:bCs/>
                <w:sz w:val="20"/>
                <w:szCs w:val="20"/>
              </w:rPr>
              <w:t>промяна</w:t>
            </w:r>
          </w:p>
        </w:tc>
        <w:tc>
          <w:tcPr>
            <w:tcW w:w="1125" w:type="dxa"/>
            <w:tcBorders>
              <w:top w:val="nil"/>
              <w:left w:val="nil"/>
              <w:bottom w:val="nil"/>
              <w:right w:val="nil"/>
            </w:tcBorders>
            <w:shd w:val="clear" w:color="auto" w:fill="auto"/>
            <w:vAlign w:val="center"/>
            <w:hideMark/>
          </w:tcPr>
          <w:p w:rsidR="00173C1E" w:rsidRPr="00173C1E" w:rsidRDefault="00173C1E" w:rsidP="00893A2E">
            <w:pPr>
              <w:spacing w:after="0" w:line="240" w:lineRule="auto"/>
              <w:jc w:val="right"/>
              <w:rPr>
                <w:rFonts w:eastAsia="Times New Roman" w:cs="Arial"/>
                <w:b/>
                <w:bCs/>
                <w:sz w:val="20"/>
                <w:szCs w:val="20"/>
              </w:rPr>
            </w:pPr>
            <w:r w:rsidRPr="00173C1E">
              <w:rPr>
                <w:rFonts w:eastAsia="Times New Roman" w:cs="Arial"/>
                <w:b/>
                <w:bCs/>
                <w:sz w:val="20"/>
                <w:szCs w:val="20"/>
              </w:rPr>
              <w:t>отн.</w:t>
            </w:r>
            <w:r w:rsidR="00C13AE1">
              <w:rPr>
                <w:rFonts w:eastAsia="Times New Roman" w:cs="Arial"/>
                <w:b/>
                <w:bCs/>
                <w:sz w:val="20"/>
                <w:szCs w:val="20"/>
              </w:rPr>
              <w:t xml:space="preserve"> </w:t>
            </w:r>
            <w:r w:rsidRPr="00173C1E">
              <w:rPr>
                <w:rFonts w:eastAsia="Times New Roman" w:cs="Arial"/>
                <w:b/>
                <w:bCs/>
                <w:sz w:val="20"/>
                <w:szCs w:val="20"/>
              </w:rPr>
              <w:t>дял 2017</w:t>
            </w:r>
          </w:p>
        </w:tc>
      </w:tr>
      <w:tr w:rsidR="00173C1E" w:rsidRPr="00173C1E" w:rsidTr="00893A2E">
        <w:trPr>
          <w:trHeight w:val="301"/>
        </w:trPr>
        <w:tc>
          <w:tcPr>
            <w:tcW w:w="4761" w:type="dxa"/>
            <w:vMerge/>
            <w:tcBorders>
              <w:top w:val="nil"/>
              <w:left w:val="nil"/>
              <w:bottom w:val="nil"/>
              <w:right w:val="nil"/>
            </w:tcBorders>
            <w:vAlign w:val="center"/>
            <w:hideMark/>
          </w:tcPr>
          <w:p w:rsidR="00173C1E" w:rsidRPr="00173C1E" w:rsidRDefault="00173C1E" w:rsidP="00173C1E">
            <w:pPr>
              <w:spacing w:after="0" w:line="240" w:lineRule="auto"/>
              <w:rPr>
                <w:rFonts w:eastAsia="Times New Roman" w:cs="Arial"/>
                <w:b/>
                <w:bCs/>
                <w:sz w:val="20"/>
                <w:szCs w:val="20"/>
              </w:rPr>
            </w:pP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b/>
                <w:bCs/>
                <w:sz w:val="20"/>
                <w:szCs w:val="20"/>
              </w:rPr>
            </w:pPr>
            <w:r w:rsidRPr="00173C1E">
              <w:rPr>
                <w:rFonts w:eastAsia="Times New Roman" w:cs="Arial"/>
                <w:b/>
                <w:bCs/>
                <w:sz w:val="20"/>
                <w:szCs w:val="20"/>
              </w:rPr>
              <w:t>BGN '000</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b/>
                <w:bCs/>
                <w:sz w:val="20"/>
                <w:szCs w:val="20"/>
              </w:rPr>
            </w:pPr>
            <w:r w:rsidRPr="00173C1E">
              <w:rPr>
                <w:rFonts w:eastAsia="Times New Roman" w:cs="Arial"/>
                <w:b/>
                <w:bCs/>
                <w:sz w:val="20"/>
                <w:szCs w:val="20"/>
              </w:rPr>
              <w:t>BGN '000</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b/>
                <w:bCs/>
                <w:sz w:val="20"/>
                <w:szCs w:val="20"/>
              </w:rPr>
            </w:pPr>
            <w:r w:rsidRPr="00173C1E">
              <w:rPr>
                <w:rFonts w:eastAsia="Times New Roman" w:cs="Arial"/>
                <w:b/>
                <w:bCs/>
                <w:sz w:val="20"/>
                <w:szCs w:val="20"/>
              </w:rPr>
              <w:t>%</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b/>
                <w:bCs/>
                <w:sz w:val="20"/>
                <w:szCs w:val="20"/>
              </w:rPr>
            </w:pPr>
            <w:r w:rsidRPr="00173C1E">
              <w:rPr>
                <w:rFonts w:eastAsia="Times New Roman" w:cs="Arial"/>
                <w:b/>
                <w:bCs/>
                <w:sz w:val="20"/>
                <w:szCs w:val="20"/>
              </w:rPr>
              <w:t>%</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Имоти, машини и оборудване</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205 876</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209 326</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50%</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Нематериални активи</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2 494</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2 177</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15%</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Инвестиционни имоти</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23 325</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22 840</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6%</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Инвестиции в дъщерни дружества</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152 935</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147 583</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4%</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37%</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Инвестиции в асоциирани дружества</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4 741</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5 219</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-9%</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w:t>
            </w:r>
          </w:p>
        </w:tc>
      </w:tr>
      <w:tr w:rsidR="00173C1E" w:rsidRPr="00173C1E" w:rsidTr="00893A2E">
        <w:trPr>
          <w:trHeight w:val="301"/>
        </w:trPr>
        <w:tc>
          <w:tcPr>
            <w:tcW w:w="4761" w:type="dxa"/>
            <w:tcBorders>
              <w:top w:val="nil"/>
              <w:left w:val="nil"/>
              <w:bottom w:val="nil"/>
              <w:right w:val="nil"/>
            </w:tcBorders>
            <w:shd w:val="clear" w:color="auto" w:fill="auto"/>
            <w:noWrap/>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Инвестиции на разположение и за продажба</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5 436</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5 229</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4%</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w:t>
            </w:r>
          </w:p>
        </w:tc>
      </w:tr>
      <w:tr w:rsidR="00173C1E" w:rsidRPr="00173C1E" w:rsidTr="00893A2E">
        <w:trPr>
          <w:trHeight w:val="301"/>
        </w:trPr>
        <w:tc>
          <w:tcPr>
            <w:tcW w:w="4761" w:type="dxa"/>
            <w:tcBorders>
              <w:top w:val="nil"/>
              <w:left w:val="nil"/>
              <w:bottom w:val="nil"/>
              <w:right w:val="nil"/>
            </w:tcBorders>
            <w:shd w:val="clear" w:color="auto" w:fill="auto"/>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 xml:space="preserve">Дългосрочни вземания от свързани предприятия </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11 515</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11 011</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w:t>
            </w:r>
          </w:p>
        </w:tc>
      </w:tr>
      <w:tr w:rsidR="00173C1E" w:rsidRPr="00173C1E" w:rsidTr="00893A2E">
        <w:trPr>
          <w:trHeight w:val="301"/>
        </w:trPr>
        <w:tc>
          <w:tcPr>
            <w:tcW w:w="4761" w:type="dxa"/>
            <w:tcBorders>
              <w:top w:val="nil"/>
              <w:left w:val="nil"/>
              <w:bottom w:val="nil"/>
              <w:right w:val="nil"/>
            </w:tcBorders>
            <w:shd w:val="clear" w:color="auto" w:fill="auto"/>
            <w:vAlign w:val="center"/>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Други дългосрочни вземания</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3 431</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3 714</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-8%</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jc w:val="center"/>
              <w:rPr>
                <w:rFonts w:eastAsia="Times New Roman" w:cs="Arial"/>
                <w:b/>
                <w:bCs/>
                <w:i/>
                <w:iCs/>
                <w:sz w:val="20"/>
                <w:szCs w:val="20"/>
              </w:rPr>
            </w:pPr>
          </w:p>
        </w:tc>
        <w:tc>
          <w:tcPr>
            <w:tcW w:w="1158" w:type="dxa"/>
            <w:tcBorders>
              <w:top w:val="single" w:sz="4" w:space="0" w:color="auto"/>
              <w:left w:val="nil"/>
              <w:bottom w:val="single" w:sz="4" w:space="0" w:color="auto"/>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b/>
                <w:bCs/>
                <w:i/>
                <w:iCs/>
                <w:sz w:val="20"/>
                <w:szCs w:val="20"/>
              </w:rPr>
            </w:pPr>
            <w:r w:rsidRPr="00173C1E">
              <w:rPr>
                <w:rFonts w:eastAsia="Times New Roman" w:cs="Arial"/>
                <w:b/>
                <w:bCs/>
                <w:i/>
                <w:iCs/>
                <w:sz w:val="20"/>
                <w:szCs w:val="20"/>
              </w:rPr>
              <w:t>409 753</w:t>
            </w:r>
          </w:p>
        </w:tc>
        <w:tc>
          <w:tcPr>
            <w:tcW w:w="1158" w:type="dxa"/>
            <w:tcBorders>
              <w:top w:val="single" w:sz="4" w:space="0" w:color="auto"/>
              <w:left w:val="nil"/>
              <w:bottom w:val="single" w:sz="4" w:space="0" w:color="auto"/>
              <w:right w:val="nil"/>
            </w:tcBorders>
            <w:shd w:val="clear" w:color="000000" w:fill="C5D9F1"/>
            <w:noWrap/>
            <w:vAlign w:val="bottom"/>
            <w:hideMark/>
          </w:tcPr>
          <w:p w:rsidR="00173C1E" w:rsidRPr="00173C1E" w:rsidRDefault="00173C1E">
            <w:pPr>
              <w:spacing w:after="0" w:line="240" w:lineRule="auto"/>
              <w:jc w:val="right"/>
              <w:rPr>
                <w:rFonts w:eastAsia="Times New Roman" w:cs="Arial"/>
                <w:b/>
                <w:bCs/>
                <w:i/>
                <w:iCs/>
                <w:sz w:val="20"/>
                <w:szCs w:val="20"/>
              </w:rPr>
            </w:pPr>
            <w:r w:rsidRPr="00173C1E">
              <w:rPr>
                <w:rFonts w:eastAsia="Times New Roman" w:cs="Arial"/>
                <w:b/>
                <w:bCs/>
                <w:i/>
                <w:iCs/>
                <w:sz w:val="20"/>
                <w:szCs w:val="20"/>
              </w:rPr>
              <w:t>407 099</w:t>
            </w:r>
          </w:p>
        </w:tc>
        <w:tc>
          <w:tcPr>
            <w:tcW w:w="1158" w:type="dxa"/>
            <w:tcBorders>
              <w:top w:val="single" w:sz="4" w:space="0" w:color="auto"/>
              <w:left w:val="nil"/>
              <w:bottom w:val="single" w:sz="4"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0.7%</w:t>
            </w:r>
          </w:p>
        </w:tc>
        <w:tc>
          <w:tcPr>
            <w:tcW w:w="1125" w:type="dxa"/>
            <w:tcBorders>
              <w:top w:val="single" w:sz="4" w:space="0" w:color="auto"/>
              <w:left w:val="nil"/>
              <w:bottom w:val="single" w:sz="4"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65%</w:t>
            </w:r>
          </w:p>
        </w:tc>
      </w:tr>
      <w:tr w:rsidR="00173C1E" w:rsidRPr="00173C1E" w:rsidTr="00893A2E">
        <w:trPr>
          <w:trHeight w:val="301"/>
        </w:trPr>
        <w:tc>
          <w:tcPr>
            <w:tcW w:w="4761" w:type="dxa"/>
            <w:tcBorders>
              <w:top w:val="nil"/>
              <w:left w:val="nil"/>
              <w:bottom w:val="nil"/>
              <w:right w:val="nil"/>
            </w:tcBorders>
            <w:shd w:val="clear" w:color="auto" w:fill="auto"/>
            <w:vAlign w:val="bottom"/>
            <w:hideMark/>
          </w:tcPr>
          <w:p w:rsidR="00173C1E" w:rsidRPr="00173C1E" w:rsidRDefault="00173C1E" w:rsidP="00173C1E">
            <w:pPr>
              <w:spacing w:after="0" w:line="240" w:lineRule="auto"/>
              <w:jc w:val="center"/>
              <w:rPr>
                <w:rFonts w:eastAsia="Times New Roman" w:cs="Arial"/>
                <w:b/>
                <w:bCs/>
                <w:sz w:val="20"/>
                <w:szCs w:val="20"/>
              </w:rPr>
            </w:pPr>
            <w:r w:rsidRPr="00173C1E">
              <w:rPr>
                <w:rFonts w:eastAsia="Times New Roman" w:cs="Arial"/>
                <w:b/>
                <w:bCs/>
                <w:sz w:val="20"/>
                <w:szCs w:val="20"/>
              </w:rPr>
              <w:t>Текущи активи</w:t>
            </w:r>
          </w:p>
        </w:tc>
        <w:tc>
          <w:tcPr>
            <w:tcW w:w="1158" w:type="dxa"/>
            <w:tcBorders>
              <w:top w:val="nil"/>
              <w:left w:val="nil"/>
              <w:bottom w:val="nil"/>
              <w:right w:val="nil"/>
            </w:tcBorders>
            <w:shd w:val="clear" w:color="000000" w:fill="DCE6F1"/>
            <w:noWrap/>
            <w:vAlign w:val="bottom"/>
            <w:hideMark/>
          </w:tcPr>
          <w:p w:rsidR="00173C1E" w:rsidRPr="00173C1E" w:rsidRDefault="00173C1E" w:rsidP="00893A2E">
            <w:pPr>
              <w:spacing w:after="0" w:line="240" w:lineRule="auto"/>
              <w:jc w:val="right"/>
              <w:rPr>
                <w:rFonts w:eastAsia="Times New Roman" w:cs="Arial"/>
                <w:b/>
                <w:bCs/>
                <w:i/>
                <w:iCs/>
                <w:sz w:val="20"/>
                <w:szCs w:val="20"/>
              </w:rPr>
            </w:pPr>
            <w:r w:rsidRPr="00173C1E">
              <w:rPr>
                <w:rFonts w:eastAsia="Times New Roman" w:cs="Arial"/>
                <w:b/>
                <w:bCs/>
                <w:i/>
                <w:iCs/>
                <w:sz w:val="20"/>
                <w:szCs w:val="20"/>
              </w:rPr>
              <w:t> </w:t>
            </w:r>
          </w:p>
        </w:tc>
        <w:tc>
          <w:tcPr>
            <w:tcW w:w="1158" w:type="dxa"/>
            <w:tcBorders>
              <w:top w:val="nil"/>
              <w:left w:val="nil"/>
              <w:bottom w:val="nil"/>
              <w:right w:val="nil"/>
            </w:tcBorders>
            <w:shd w:val="clear" w:color="000000" w:fill="C5D9F1"/>
            <w:noWrap/>
            <w:vAlign w:val="bottom"/>
            <w:hideMark/>
          </w:tcPr>
          <w:p w:rsidR="00173C1E" w:rsidRPr="00173C1E" w:rsidRDefault="00173C1E" w:rsidP="00893A2E">
            <w:pPr>
              <w:spacing w:after="0" w:line="240" w:lineRule="auto"/>
              <w:jc w:val="right"/>
              <w:rPr>
                <w:rFonts w:eastAsia="Times New Roman" w:cs="Arial"/>
                <w:b/>
                <w:bCs/>
                <w:i/>
                <w:iCs/>
                <w:sz w:val="20"/>
                <w:szCs w:val="20"/>
              </w:rPr>
            </w:pPr>
            <w:r w:rsidRPr="00173C1E">
              <w:rPr>
                <w:rFonts w:eastAsia="Times New Roman" w:cs="Arial"/>
                <w:b/>
                <w:bCs/>
                <w:i/>
                <w:iCs/>
                <w:sz w:val="20"/>
                <w:szCs w:val="20"/>
              </w:rPr>
              <w:t> </w:t>
            </w:r>
          </w:p>
        </w:tc>
        <w:tc>
          <w:tcPr>
            <w:tcW w:w="1158" w:type="dxa"/>
            <w:tcBorders>
              <w:top w:val="nil"/>
              <w:left w:val="nil"/>
              <w:bottom w:val="nil"/>
              <w:right w:val="nil"/>
            </w:tcBorders>
            <w:shd w:val="clear" w:color="auto" w:fill="auto"/>
            <w:noWrap/>
            <w:vAlign w:val="bottom"/>
            <w:hideMark/>
          </w:tcPr>
          <w:p w:rsidR="00173C1E" w:rsidRPr="00173C1E" w:rsidRDefault="00173C1E" w:rsidP="00893A2E">
            <w:pPr>
              <w:spacing w:after="0" w:line="240" w:lineRule="auto"/>
              <w:jc w:val="right"/>
              <w:rPr>
                <w:rFonts w:eastAsia="Times New Roman" w:cs="Arial"/>
                <w:sz w:val="20"/>
                <w:szCs w:val="20"/>
              </w:rPr>
            </w:pPr>
          </w:p>
        </w:tc>
        <w:tc>
          <w:tcPr>
            <w:tcW w:w="1125" w:type="dxa"/>
            <w:tcBorders>
              <w:top w:val="nil"/>
              <w:left w:val="nil"/>
              <w:bottom w:val="nil"/>
              <w:right w:val="nil"/>
            </w:tcBorders>
            <w:shd w:val="clear" w:color="auto" w:fill="auto"/>
            <w:noWrap/>
            <w:vAlign w:val="bottom"/>
            <w:hideMark/>
          </w:tcPr>
          <w:p w:rsidR="00173C1E" w:rsidRPr="00173C1E" w:rsidRDefault="00173C1E" w:rsidP="00893A2E">
            <w:pPr>
              <w:spacing w:after="0" w:line="240" w:lineRule="auto"/>
              <w:jc w:val="right"/>
              <w:rPr>
                <w:rFonts w:eastAsia="Times New Roman" w:cs="Arial"/>
                <w:sz w:val="20"/>
                <w:szCs w:val="20"/>
              </w:rPr>
            </w:pP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 xml:space="preserve">Материални запаси </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63 300</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56 807</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11%</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28%</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Вземания от свързани предприятия</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122 519</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71 076</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72%</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55%</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 xml:space="preserve">Търговски вземания </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26 580</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22 479</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18%</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12%</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Предоставени заеми на трети лица</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3 643</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2 445</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49%</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Други вземания и предплатени разходи</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4 981</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4 859</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2%</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rPr>
                <w:rFonts w:eastAsia="Times New Roman" w:cs="Arial"/>
                <w:sz w:val="20"/>
                <w:szCs w:val="20"/>
              </w:rPr>
            </w:pPr>
            <w:r w:rsidRPr="00173C1E">
              <w:rPr>
                <w:rFonts w:eastAsia="Times New Roman" w:cs="Arial"/>
                <w:sz w:val="20"/>
                <w:szCs w:val="20"/>
              </w:rPr>
              <w:t xml:space="preserve">Парични средства и парични еквиваленти </w:t>
            </w:r>
          </w:p>
        </w:tc>
        <w:tc>
          <w:tcPr>
            <w:tcW w:w="1158" w:type="dxa"/>
            <w:tcBorders>
              <w:top w:val="nil"/>
              <w:left w:val="nil"/>
              <w:bottom w:val="nil"/>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sz w:val="20"/>
                <w:szCs w:val="20"/>
              </w:rPr>
            </w:pPr>
            <w:r w:rsidRPr="00173C1E">
              <w:rPr>
                <w:rFonts w:eastAsia="Times New Roman" w:cs="Arial"/>
                <w:sz w:val="20"/>
                <w:szCs w:val="20"/>
              </w:rPr>
              <w:t>1 498</w:t>
            </w:r>
          </w:p>
        </w:tc>
        <w:tc>
          <w:tcPr>
            <w:tcW w:w="1158" w:type="dxa"/>
            <w:tcBorders>
              <w:top w:val="nil"/>
              <w:left w:val="nil"/>
              <w:bottom w:val="nil"/>
              <w:right w:val="nil"/>
            </w:tcBorders>
            <w:shd w:val="clear" w:color="000000" w:fill="C5D9F1"/>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4 343</w:t>
            </w:r>
          </w:p>
        </w:tc>
        <w:tc>
          <w:tcPr>
            <w:tcW w:w="1158"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-66%</w:t>
            </w:r>
          </w:p>
        </w:tc>
        <w:tc>
          <w:tcPr>
            <w:tcW w:w="1125" w:type="dxa"/>
            <w:tcBorders>
              <w:top w:val="nil"/>
              <w:left w:val="nil"/>
              <w:bottom w:val="nil"/>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w:t>
            </w:r>
          </w:p>
        </w:tc>
      </w:tr>
      <w:tr w:rsidR="00173C1E" w:rsidRPr="00173C1E" w:rsidTr="00893A2E">
        <w:trPr>
          <w:trHeight w:val="301"/>
        </w:trPr>
        <w:tc>
          <w:tcPr>
            <w:tcW w:w="4761" w:type="dxa"/>
            <w:tcBorders>
              <w:top w:val="nil"/>
              <w:left w:val="nil"/>
              <w:bottom w:val="nil"/>
              <w:right w:val="nil"/>
            </w:tcBorders>
            <w:shd w:val="clear" w:color="auto" w:fill="auto"/>
            <w:noWrap/>
            <w:vAlign w:val="bottom"/>
            <w:hideMark/>
          </w:tcPr>
          <w:p w:rsidR="00173C1E" w:rsidRPr="00173C1E" w:rsidRDefault="00173C1E" w:rsidP="00173C1E">
            <w:pPr>
              <w:spacing w:after="0" w:line="240" w:lineRule="auto"/>
              <w:jc w:val="center"/>
              <w:rPr>
                <w:rFonts w:eastAsia="Times New Roman" w:cs="Arial"/>
                <w:b/>
                <w:bCs/>
                <w:i/>
                <w:iCs/>
                <w:sz w:val="20"/>
                <w:szCs w:val="20"/>
              </w:rPr>
            </w:pPr>
          </w:p>
        </w:tc>
        <w:tc>
          <w:tcPr>
            <w:tcW w:w="1158" w:type="dxa"/>
            <w:tcBorders>
              <w:top w:val="single" w:sz="4" w:space="0" w:color="auto"/>
              <w:left w:val="nil"/>
              <w:bottom w:val="single" w:sz="4" w:space="0" w:color="auto"/>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b/>
                <w:bCs/>
                <w:i/>
                <w:iCs/>
                <w:sz w:val="20"/>
                <w:szCs w:val="20"/>
              </w:rPr>
            </w:pPr>
            <w:r w:rsidRPr="00173C1E">
              <w:rPr>
                <w:rFonts w:eastAsia="Times New Roman" w:cs="Arial"/>
                <w:b/>
                <w:bCs/>
                <w:i/>
                <w:iCs/>
                <w:sz w:val="20"/>
                <w:szCs w:val="20"/>
              </w:rPr>
              <w:t>222 521</w:t>
            </w:r>
          </w:p>
        </w:tc>
        <w:tc>
          <w:tcPr>
            <w:tcW w:w="1158" w:type="dxa"/>
            <w:tcBorders>
              <w:top w:val="single" w:sz="4" w:space="0" w:color="auto"/>
              <w:left w:val="nil"/>
              <w:bottom w:val="single" w:sz="4" w:space="0" w:color="auto"/>
              <w:right w:val="nil"/>
            </w:tcBorders>
            <w:shd w:val="clear" w:color="000000" w:fill="C5D9F1"/>
            <w:noWrap/>
            <w:vAlign w:val="bottom"/>
            <w:hideMark/>
          </w:tcPr>
          <w:p w:rsidR="00173C1E" w:rsidRPr="00173C1E" w:rsidRDefault="00173C1E">
            <w:pPr>
              <w:spacing w:after="0" w:line="240" w:lineRule="auto"/>
              <w:jc w:val="right"/>
              <w:rPr>
                <w:rFonts w:eastAsia="Times New Roman" w:cs="Arial"/>
                <w:b/>
                <w:bCs/>
                <w:i/>
                <w:iCs/>
                <w:sz w:val="20"/>
                <w:szCs w:val="20"/>
              </w:rPr>
            </w:pPr>
            <w:r w:rsidRPr="00173C1E">
              <w:rPr>
                <w:rFonts w:eastAsia="Times New Roman" w:cs="Arial"/>
                <w:b/>
                <w:bCs/>
                <w:i/>
                <w:iCs/>
                <w:sz w:val="20"/>
                <w:szCs w:val="20"/>
              </w:rPr>
              <w:t>162 009</w:t>
            </w:r>
          </w:p>
        </w:tc>
        <w:tc>
          <w:tcPr>
            <w:tcW w:w="1158" w:type="dxa"/>
            <w:tcBorders>
              <w:top w:val="single" w:sz="4" w:space="0" w:color="auto"/>
              <w:left w:val="nil"/>
              <w:bottom w:val="single" w:sz="4"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37%</w:t>
            </w:r>
          </w:p>
        </w:tc>
        <w:tc>
          <w:tcPr>
            <w:tcW w:w="1125" w:type="dxa"/>
            <w:tcBorders>
              <w:top w:val="single" w:sz="4" w:space="0" w:color="auto"/>
              <w:left w:val="nil"/>
              <w:bottom w:val="single" w:sz="4"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35%</w:t>
            </w:r>
          </w:p>
        </w:tc>
      </w:tr>
      <w:tr w:rsidR="00173C1E" w:rsidRPr="00173C1E" w:rsidTr="00893A2E">
        <w:trPr>
          <w:trHeight w:val="301"/>
        </w:trPr>
        <w:tc>
          <w:tcPr>
            <w:tcW w:w="4761" w:type="dxa"/>
            <w:tcBorders>
              <w:top w:val="nil"/>
              <w:left w:val="nil"/>
              <w:bottom w:val="nil"/>
              <w:right w:val="nil"/>
            </w:tcBorders>
            <w:shd w:val="clear" w:color="auto" w:fill="auto"/>
            <w:vAlign w:val="bottom"/>
            <w:hideMark/>
          </w:tcPr>
          <w:p w:rsidR="00173C1E" w:rsidRPr="00173C1E" w:rsidRDefault="00173C1E" w:rsidP="00173C1E">
            <w:pPr>
              <w:spacing w:after="0" w:line="240" w:lineRule="auto"/>
              <w:rPr>
                <w:rFonts w:eastAsia="Times New Roman" w:cs="Arial"/>
                <w:b/>
                <w:bCs/>
                <w:i/>
                <w:iCs/>
                <w:sz w:val="20"/>
                <w:szCs w:val="20"/>
              </w:rPr>
            </w:pPr>
            <w:r w:rsidRPr="00173C1E">
              <w:rPr>
                <w:rFonts w:eastAsia="Times New Roman" w:cs="Arial"/>
                <w:b/>
                <w:bCs/>
                <w:i/>
                <w:iCs/>
                <w:sz w:val="20"/>
                <w:szCs w:val="20"/>
              </w:rPr>
              <w:t>ОБЩО АКТИВИ</w:t>
            </w:r>
          </w:p>
        </w:tc>
        <w:tc>
          <w:tcPr>
            <w:tcW w:w="1158" w:type="dxa"/>
            <w:tcBorders>
              <w:top w:val="nil"/>
              <w:left w:val="nil"/>
              <w:bottom w:val="double" w:sz="6" w:space="0" w:color="auto"/>
              <w:right w:val="nil"/>
            </w:tcBorders>
            <w:shd w:val="clear" w:color="000000" w:fill="DCE6F1"/>
            <w:noWrap/>
            <w:vAlign w:val="bottom"/>
            <w:hideMark/>
          </w:tcPr>
          <w:p w:rsidR="00173C1E" w:rsidRPr="00173C1E" w:rsidRDefault="00173C1E" w:rsidP="008659B5">
            <w:pPr>
              <w:spacing w:after="0" w:line="240" w:lineRule="auto"/>
              <w:jc w:val="right"/>
              <w:rPr>
                <w:rFonts w:eastAsia="Times New Roman" w:cs="Arial"/>
                <w:b/>
                <w:bCs/>
                <w:i/>
                <w:iCs/>
                <w:sz w:val="20"/>
                <w:szCs w:val="20"/>
              </w:rPr>
            </w:pPr>
            <w:r w:rsidRPr="00173C1E">
              <w:rPr>
                <w:rFonts w:eastAsia="Times New Roman" w:cs="Arial"/>
                <w:b/>
                <w:bCs/>
                <w:i/>
                <w:iCs/>
                <w:sz w:val="20"/>
                <w:szCs w:val="20"/>
              </w:rPr>
              <w:t>632 274</w:t>
            </w:r>
          </w:p>
        </w:tc>
        <w:tc>
          <w:tcPr>
            <w:tcW w:w="1158" w:type="dxa"/>
            <w:tcBorders>
              <w:top w:val="nil"/>
              <w:left w:val="nil"/>
              <w:bottom w:val="double" w:sz="6" w:space="0" w:color="auto"/>
              <w:right w:val="nil"/>
            </w:tcBorders>
            <w:shd w:val="clear" w:color="000000" w:fill="C5D9F1"/>
            <w:noWrap/>
            <w:vAlign w:val="bottom"/>
            <w:hideMark/>
          </w:tcPr>
          <w:p w:rsidR="00173C1E" w:rsidRPr="00173C1E" w:rsidRDefault="00173C1E">
            <w:pPr>
              <w:spacing w:after="0" w:line="240" w:lineRule="auto"/>
              <w:jc w:val="right"/>
              <w:rPr>
                <w:rFonts w:eastAsia="Times New Roman" w:cs="Arial"/>
                <w:b/>
                <w:bCs/>
                <w:i/>
                <w:iCs/>
                <w:sz w:val="20"/>
                <w:szCs w:val="20"/>
              </w:rPr>
            </w:pPr>
            <w:r w:rsidRPr="00173C1E">
              <w:rPr>
                <w:rFonts w:eastAsia="Times New Roman" w:cs="Arial"/>
                <w:b/>
                <w:bCs/>
                <w:i/>
                <w:iCs/>
                <w:sz w:val="20"/>
                <w:szCs w:val="20"/>
              </w:rPr>
              <w:t>569 108</w:t>
            </w:r>
          </w:p>
        </w:tc>
        <w:tc>
          <w:tcPr>
            <w:tcW w:w="1158" w:type="dxa"/>
            <w:tcBorders>
              <w:top w:val="nil"/>
              <w:left w:val="nil"/>
              <w:bottom w:val="double" w:sz="6"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11%</w:t>
            </w:r>
          </w:p>
        </w:tc>
        <w:tc>
          <w:tcPr>
            <w:tcW w:w="1125" w:type="dxa"/>
            <w:tcBorders>
              <w:top w:val="nil"/>
              <w:left w:val="nil"/>
              <w:bottom w:val="double" w:sz="6" w:space="0" w:color="auto"/>
              <w:right w:val="nil"/>
            </w:tcBorders>
            <w:shd w:val="clear" w:color="auto" w:fill="auto"/>
            <w:noWrap/>
            <w:vAlign w:val="bottom"/>
            <w:hideMark/>
          </w:tcPr>
          <w:p w:rsidR="00173C1E" w:rsidRPr="00173C1E" w:rsidRDefault="00173C1E">
            <w:pPr>
              <w:spacing w:after="0" w:line="240" w:lineRule="auto"/>
              <w:jc w:val="right"/>
              <w:rPr>
                <w:rFonts w:eastAsia="Times New Roman" w:cs="Arial"/>
                <w:sz w:val="20"/>
                <w:szCs w:val="20"/>
              </w:rPr>
            </w:pPr>
            <w:r w:rsidRPr="00173C1E">
              <w:rPr>
                <w:rFonts w:eastAsia="Times New Roman" w:cs="Arial"/>
                <w:sz w:val="20"/>
                <w:szCs w:val="20"/>
              </w:rPr>
              <w:t>100%</w:t>
            </w:r>
          </w:p>
        </w:tc>
      </w:tr>
    </w:tbl>
    <w:p w:rsidR="00946D28" w:rsidRDefault="00946D28" w:rsidP="00F80195">
      <w:pPr>
        <w:suppressAutoHyphens/>
        <w:autoSpaceDN w:val="0"/>
        <w:spacing w:before="40" w:after="40" w:line="240" w:lineRule="auto"/>
        <w:jc w:val="both"/>
        <w:textAlignment w:val="baseline"/>
        <w:rPr>
          <w:rFonts w:eastAsia="Calibri" w:cs="Calibri"/>
          <w:sz w:val="24"/>
          <w:szCs w:val="24"/>
        </w:rPr>
      </w:pPr>
    </w:p>
    <w:p w:rsidR="00946D28" w:rsidRPr="00CC5D38" w:rsidRDefault="00946D28" w:rsidP="00F80195">
      <w:pPr>
        <w:suppressAutoHyphens/>
        <w:autoSpaceDN w:val="0"/>
        <w:spacing w:before="40" w:after="40" w:line="240" w:lineRule="auto"/>
        <w:jc w:val="both"/>
        <w:textAlignment w:val="baseline"/>
        <w:rPr>
          <w:rFonts w:eastAsia="Calibri" w:cs="Calibri"/>
          <w:sz w:val="24"/>
          <w:szCs w:val="24"/>
        </w:rPr>
      </w:pP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r>
        <w:rPr>
          <w:rFonts w:eastAsia="Calibri" w:cs="Calibri"/>
          <w:i/>
          <w:sz w:val="24"/>
          <w:szCs w:val="24"/>
        </w:rPr>
        <w:t>Общите активи</w:t>
      </w:r>
      <w:r>
        <w:rPr>
          <w:rFonts w:eastAsia="Calibri" w:cs="Calibri"/>
          <w:sz w:val="24"/>
          <w:szCs w:val="24"/>
        </w:rPr>
        <w:t xml:space="preserve"> се увеличават  с </w:t>
      </w:r>
      <w:r w:rsidR="00173C1E">
        <w:rPr>
          <w:rFonts w:eastAsia="Calibri" w:cs="Calibri"/>
          <w:sz w:val="24"/>
          <w:szCs w:val="24"/>
        </w:rPr>
        <w:t>63,8</w:t>
      </w:r>
      <w:r>
        <w:rPr>
          <w:rFonts w:eastAsia="Calibri" w:cs="Calibri"/>
          <w:sz w:val="24"/>
          <w:szCs w:val="24"/>
        </w:rPr>
        <w:t xml:space="preserve"> млн. лв. или с 1</w:t>
      </w:r>
      <w:r w:rsidR="00173C1E">
        <w:rPr>
          <w:rFonts w:eastAsia="Calibri" w:cs="Calibri"/>
          <w:sz w:val="24"/>
          <w:szCs w:val="24"/>
        </w:rPr>
        <w:t>1</w:t>
      </w:r>
      <w:r>
        <w:rPr>
          <w:rFonts w:eastAsia="Calibri" w:cs="Calibri"/>
          <w:sz w:val="24"/>
          <w:szCs w:val="24"/>
        </w:rPr>
        <w:t>% до  </w:t>
      </w:r>
      <w:r w:rsidR="00173C1E">
        <w:rPr>
          <w:rFonts w:eastAsia="Calibri" w:cs="Calibri"/>
          <w:sz w:val="24"/>
          <w:szCs w:val="24"/>
        </w:rPr>
        <w:t xml:space="preserve"> 632,3 </w:t>
      </w:r>
      <w:r>
        <w:rPr>
          <w:rFonts w:eastAsia="Calibri" w:cs="Calibri"/>
          <w:sz w:val="24"/>
          <w:szCs w:val="24"/>
        </w:rPr>
        <w:t>млн. лв., в сравнение  569,1 млн. лв. към 31.12.2016 г.</w:t>
      </w:r>
    </w:p>
    <w:p w:rsidR="00F80195" w:rsidRDefault="00F80195" w:rsidP="00F80195">
      <w:pPr>
        <w:suppressAutoHyphens/>
        <w:autoSpaceDN w:val="0"/>
        <w:spacing w:before="40" w:after="40" w:line="240" w:lineRule="auto"/>
        <w:jc w:val="both"/>
        <w:textAlignment w:val="baseline"/>
        <w:rPr>
          <w:rFonts w:eastAsia="Calibri" w:cs="Calibri"/>
          <w:sz w:val="24"/>
          <w:szCs w:val="24"/>
        </w:rPr>
      </w:pPr>
      <w:r>
        <w:rPr>
          <w:rFonts w:eastAsia="Calibri" w:cs="Calibri"/>
          <w:i/>
          <w:sz w:val="24"/>
          <w:szCs w:val="24"/>
        </w:rPr>
        <w:t>Нетекущите активи</w:t>
      </w:r>
      <w:r>
        <w:rPr>
          <w:rFonts w:eastAsia="Calibri" w:cs="Calibri"/>
          <w:sz w:val="24"/>
          <w:szCs w:val="24"/>
        </w:rPr>
        <w:t xml:space="preserve"> се увеличават с </w:t>
      </w:r>
      <w:r w:rsidR="00173C1E">
        <w:rPr>
          <w:rFonts w:eastAsia="Calibri" w:cs="Calibri"/>
          <w:sz w:val="24"/>
          <w:szCs w:val="24"/>
        </w:rPr>
        <w:t>2,6</w:t>
      </w:r>
      <w:r>
        <w:rPr>
          <w:rFonts w:eastAsia="Calibri" w:cs="Calibri"/>
          <w:sz w:val="24"/>
          <w:szCs w:val="24"/>
        </w:rPr>
        <w:t xml:space="preserve"> млн. лв., или с </w:t>
      </w:r>
      <w:r w:rsidR="00173C1E">
        <w:rPr>
          <w:rFonts w:eastAsia="Calibri" w:cs="Calibri"/>
          <w:sz w:val="24"/>
          <w:szCs w:val="24"/>
        </w:rPr>
        <w:t>0,6</w:t>
      </w:r>
      <w:r>
        <w:rPr>
          <w:rFonts w:eastAsia="Calibri" w:cs="Calibri"/>
          <w:sz w:val="24"/>
          <w:szCs w:val="24"/>
        </w:rPr>
        <w:t>%, което се дължи основно на</w:t>
      </w:r>
      <w:r w:rsidRPr="00896B97">
        <w:rPr>
          <w:rFonts w:eastAsia="Calibri" w:cs="Calibri"/>
          <w:sz w:val="24"/>
          <w:szCs w:val="24"/>
        </w:rPr>
        <w:t xml:space="preserve"> </w:t>
      </w:r>
      <w:r>
        <w:rPr>
          <w:rFonts w:eastAsia="Calibri" w:cs="Calibri"/>
          <w:sz w:val="24"/>
          <w:szCs w:val="24"/>
        </w:rPr>
        <w:t>увеличение</w:t>
      </w:r>
      <w:r w:rsidRPr="00896B97">
        <w:rPr>
          <w:rFonts w:eastAsia="Calibri" w:cs="Calibri"/>
          <w:sz w:val="24"/>
          <w:szCs w:val="24"/>
        </w:rPr>
        <w:t xml:space="preserve"> </w:t>
      </w:r>
      <w:r>
        <w:rPr>
          <w:rFonts w:eastAsia="Calibri" w:cs="Calibri"/>
          <w:sz w:val="24"/>
          <w:szCs w:val="24"/>
        </w:rPr>
        <w:t xml:space="preserve">на </w:t>
      </w:r>
      <w:r w:rsidR="00173C1E">
        <w:rPr>
          <w:rFonts w:eastAsia="Calibri" w:cs="Calibri"/>
          <w:sz w:val="24"/>
          <w:szCs w:val="24"/>
        </w:rPr>
        <w:t>инвестиции в дъщерни дружества</w:t>
      </w:r>
      <w:r w:rsidRPr="00AE6DEE">
        <w:rPr>
          <w:rFonts w:eastAsia="Calibri" w:cs="Calibri"/>
          <w:sz w:val="24"/>
          <w:szCs w:val="24"/>
        </w:rPr>
        <w:t xml:space="preserve"> </w:t>
      </w:r>
      <w:r>
        <w:rPr>
          <w:rFonts w:eastAsia="Calibri" w:cs="Calibri"/>
          <w:sz w:val="24"/>
          <w:szCs w:val="24"/>
        </w:rPr>
        <w:t xml:space="preserve">с </w:t>
      </w:r>
      <w:r w:rsidR="00173C1E">
        <w:rPr>
          <w:rFonts w:eastAsia="Calibri" w:cs="Calibri"/>
          <w:sz w:val="24"/>
          <w:szCs w:val="24"/>
        </w:rPr>
        <w:t>5,3</w:t>
      </w:r>
      <w:r>
        <w:rPr>
          <w:rFonts w:eastAsia="Calibri" w:cs="Calibri"/>
          <w:sz w:val="24"/>
          <w:szCs w:val="24"/>
        </w:rPr>
        <w:t xml:space="preserve"> млн.</w:t>
      </w:r>
      <w:r w:rsidR="001917EC">
        <w:rPr>
          <w:rFonts w:eastAsia="Calibri" w:cs="Calibri"/>
          <w:sz w:val="24"/>
          <w:szCs w:val="24"/>
        </w:rPr>
        <w:t xml:space="preserve"> </w:t>
      </w:r>
      <w:r>
        <w:rPr>
          <w:rFonts w:eastAsia="Calibri" w:cs="Calibri"/>
          <w:sz w:val="24"/>
          <w:szCs w:val="24"/>
        </w:rPr>
        <w:t>лв.</w:t>
      </w:r>
      <w:r w:rsidR="00173C1E">
        <w:rPr>
          <w:rFonts w:eastAsia="Calibri" w:cs="Calibri"/>
          <w:sz w:val="24"/>
          <w:szCs w:val="24"/>
        </w:rPr>
        <w:t xml:space="preserve">, свързани с придобиването на Рап Фарма Интернешънъл ООД и търговото предложение към останалите акционери на дъжерното дружество Унифарм АД. </w:t>
      </w:r>
      <w:r>
        <w:rPr>
          <w:rFonts w:eastAsia="Calibri" w:cs="Calibri"/>
          <w:sz w:val="24"/>
          <w:szCs w:val="24"/>
        </w:rPr>
        <w:t xml:space="preserve">Намаляват активите в имоти, машини и оборудване с </w:t>
      </w:r>
      <w:r w:rsidR="00173C1E">
        <w:rPr>
          <w:rFonts w:eastAsia="Calibri" w:cs="Calibri"/>
          <w:sz w:val="24"/>
          <w:szCs w:val="24"/>
        </w:rPr>
        <w:t xml:space="preserve">3,4 </w:t>
      </w:r>
      <w:r>
        <w:rPr>
          <w:rFonts w:eastAsia="Calibri" w:cs="Calibri"/>
          <w:sz w:val="24"/>
          <w:szCs w:val="24"/>
        </w:rPr>
        <w:t xml:space="preserve">млн. лв. основно в частта на машини, съоръжения и оборудване с </w:t>
      </w:r>
      <w:r w:rsidR="00173C1E">
        <w:rPr>
          <w:rFonts w:eastAsia="Calibri" w:cs="Calibri"/>
          <w:sz w:val="24"/>
          <w:szCs w:val="24"/>
        </w:rPr>
        <w:t>2,7</w:t>
      </w:r>
      <w:r>
        <w:rPr>
          <w:rFonts w:eastAsia="Calibri" w:cs="Calibri"/>
          <w:sz w:val="24"/>
          <w:szCs w:val="24"/>
        </w:rPr>
        <w:t xml:space="preserve"> млн. лв.,  </w:t>
      </w:r>
      <w:r w:rsidR="001917EC">
        <w:rPr>
          <w:rFonts w:eastAsia="Calibri" w:cs="Calibri"/>
          <w:sz w:val="24"/>
          <w:szCs w:val="24"/>
        </w:rPr>
        <w:t xml:space="preserve">както и </w:t>
      </w:r>
      <w:r>
        <w:rPr>
          <w:rFonts w:eastAsia="Calibri" w:cs="Calibri"/>
          <w:sz w:val="24"/>
          <w:szCs w:val="24"/>
        </w:rPr>
        <w:t xml:space="preserve">в частта на земя и сгради с </w:t>
      </w:r>
      <w:r w:rsidR="00173C1E">
        <w:rPr>
          <w:rFonts w:eastAsia="Calibri" w:cs="Calibri"/>
          <w:sz w:val="24"/>
          <w:szCs w:val="24"/>
        </w:rPr>
        <w:t>0,5</w:t>
      </w:r>
      <w:r>
        <w:rPr>
          <w:rFonts w:eastAsia="Calibri" w:cs="Calibri"/>
          <w:sz w:val="24"/>
          <w:szCs w:val="24"/>
        </w:rPr>
        <w:t xml:space="preserve"> млн. лв.  Увеличение с </w:t>
      </w:r>
      <w:r w:rsidR="00173C1E">
        <w:rPr>
          <w:rFonts w:eastAsia="Calibri" w:cs="Calibri"/>
          <w:sz w:val="24"/>
          <w:szCs w:val="24"/>
        </w:rPr>
        <w:t xml:space="preserve">0,3 </w:t>
      </w:r>
      <w:r>
        <w:rPr>
          <w:rFonts w:eastAsia="Calibri" w:cs="Calibri"/>
          <w:sz w:val="24"/>
          <w:szCs w:val="24"/>
        </w:rPr>
        <w:t>млн. лв. се регистрира при активите в процес на придобиване.</w:t>
      </w:r>
    </w:p>
    <w:p w:rsidR="00F80195" w:rsidRPr="00EC0C5B" w:rsidRDefault="00F80195" w:rsidP="00F80195">
      <w:pPr>
        <w:suppressAutoHyphens/>
        <w:autoSpaceDN w:val="0"/>
        <w:spacing w:before="40" w:after="40" w:line="240" w:lineRule="auto"/>
        <w:jc w:val="both"/>
        <w:textAlignment w:val="baseline"/>
        <w:rPr>
          <w:rFonts w:eastAsia="Calibri" w:cs="Calibri"/>
          <w:sz w:val="24"/>
          <w:szCs w:val="24"/>
          <w:lang w:val="ru-RU"/>
        </w:rPr>
      </w:pPr>
      <w:r>
        <w:rPr>
          <w:rFonts w:eastAsia="Calibri" w:cs="Calibri"/>
          <w:sz w:val="24"/>
          <w:szCs w:val="24"/>
        </w:rPr>
        <w:t xml:space="preserve">Нематериалните </w:t>
      </w:r>
      <w:r w:rsidRPr="00AE6DEE">
        <w:rPr>
          <w:rFonts w:eastAsia="Calibri" w:cs="Calibri"/>
          <w:sz w:val="24"/>
          <w:szCs w:val="24"/>
        </w:rPr>
        <w:t xml:space="preserve">активи </w:t>
      </w:r>
      <w:r w:rsidR="00173C1E">
        <w:rPr>
          <w:rFonts w:eastAsia="Calibri" w:cs="Calibri"/>
          <w:sz w:val="24"/>
          <w:szCs w:val="24"/>
        </w:rPr>
        <w:t>се увеличават</w:t>
      </w:r>
      <w:r w:rsidR="00173C1E" w:rsidRPr="00AE6DEE">
        <w:rPr>
          <w:rFonts w:eastAsia="Calibri" w:cs="Calibri"/>
          <w:sz w:val="24"/>
          <w:szCs w:val="24"/>
        </w:rPr>
        <w:t xml:space="preserve"> </w:t>
      </w:r>
      <w:r w:rsidRPr="00AE6DEE">
        <w:rPr>
          <w:rFonts w:eastAsia="Calibri" w:cs="Calibri"/>
          <w:sz w:val="24"/>
          <w:szCs w:val="24"/>
        </w:rPr>
        <w:t xml:space="preserve">с </w:t>
      </w:r>
      <w:r w:rsidR="00173C1E">
        <w:rPr>
          <w:rFonts w:eastAsia="Calibri" w:cs="Calibri"/>
          <w:sz w:val="24"/>
          <w:szCs w:val="24"/>
        </w:rPr>
        <w:t>0,3</w:t>
      </w:r>
      <w:r>
        <w:rPr>
          <w:rFonts w:eastAsia="Calibri" w:cs="Calibri"/>
          <w:sz w:val="24"/>
          <w:szCs w:val="24"/>
        </w:rPr>
        <w:t xml:space="preserve"> </w:t>
      </w:r>
      <w:r w:rsidRPr="00AE6DEE">
        <w:rPr>
          <w:rFonts w:eastAsia="Calibri" w:cs="Calibri"/>
          <w:sz w:val="24"/>
          <w:szCs w:val="24"/>
        </w:rPr>
        <w:t>млн.</w:t>
      </w:r>
      <w:r>
        <w:rPr>
          <w:rFonts w:eastAsia="Calibri" w:cs="Calibri"/>
          <w:sz w:val="24"/>
          <w:szCs w:val="24"/>
        </w:rPr>
        <w:t xml:space="preserve"> лв. основно в частта на права върху интелектуална </w:t>
      </w:r>
      <w:r w:rsidRPr="00AE6DEE">
        <w:rPr>
          <w:rFonts w:eastAsia="Calibri" w:cs="Calibri"/>
          <w:sz w:val="24"/>
          <w:szCs w:val="24"/>
        </w:rPr>
        <w:t>собственост</w:t>
      </w:r>
      <w:r w:rsidR="00173C1E">
        <w:rPr>
          <w:rFonts w:eastAsia="Calibri" w:cs="Calibri"/>
          <w:sz w:val="24"/>
          <w:szCs w:val="24"/>
        </w:rPr>
        <w:t xml:space="preserve"> и нематериални активи в процес на придобиване</w:t>
      </w:r>
      <w:r w:rsidR="00E85A1A">
        <w:rPr>
          <w:rFonts w:eastAsia="Calibri" w:cs="Calibri"/>
          <w:sz w:val="24"/>
          <w:szCs w:val="24"/>
        </w:rPr>
        <w:t xml:space="preserve">. </w:t>
      </w:r>
    </w:p>
    <w:p w:rsidR="009F25DB" w:rsidRPr="009F25DB" w:rsidRDefault="00F80195" w:rsidP="009F25DB">
      <w:pPr>
        <w:suppressAutoHyphens/>
        <w:autoSpaceDN w:val="0"/>
        <w:spacing w:before="40" w:after="40" w:line="240" w:lineRule="auto"/>
        <w:jc w:val="both"/>
        <w:textAlignment w:val="baseline"/>
        <w:rPr>
          <w:rFonts w:eastAsia="Calibri" w:cs="Calibri"/>
          <w:sz w:val="24"/>
          <w:szCs w:val="24"/>
        </w:rPr>
      </w:pPr>
      <w:r>
        <w:rPr>
          <w:rFonts w:eastAsia="Calibri" w:cs="Calibri"/>
          <w:i/>
          <w:sz w:val="24"/>
          <w:szCs w:val="24"/>
        </w:rPr>
        <w:t xml:space="preserve">Текущите активи </w:t>
      </w:r>
      <w:r>
        <w:rPr>
          <w:rFonts w:eastAsia="Calibri" w:cs="Calibri"/>
          <w:sz w:val="24"/>
          <w:szCs w:val="24"/>
        </w:rPr>
        <w:t xml:space="preserve">се увеличават с </w:t>
      </w:r>
      <w:r w:rsidR="00173C1E">
        <w:rPr>
          <w:rFonts w:eastAsia="Calibri" w:cs="Calibri"/>
          <w:sz w:val="24"/>
          <w:szCs w:val="24"/>
        </w:rPr>
        <w:t>60,5</w:t>
      </w:r>
      <w:r>
        <w:rPr>
          <w:rFonts w:eastAsia="Calibri" w:cs="Calibri"/>
          <w:sz w:val="24"/>
          <w:szCs w:val="24"/>
        </w:rPr>
        <w:t xml:space="preserve"> млн. лв. или с </w:t>
      </w:r>
      <w:r w:rsidR="00173C1E">
        <w:rPr>
          <w:rFonts w:eastAsia="Calibri" w:cs="Calibri"/>
          <w:sz w:val="24"/>
          <w:szCs w:val="24"/>
        </w:rPr>
        <w:t>37</w:t>
      </w:r>
      <w:r>
        <w:rPr>
          <w:rFonts w:eastAsia="Calibri" w:cs="Calibri"/>
          <w:sz w:val="24"/>
          <w:szCs w:val="24"/>
        </w:rPr>
        <w:t>% до  </w:t>
      </w:r>
      <w:r w:rsidR="00173C1E">
        <w:rPr>
          <w:rFonts w:eastAsia="Calibri" w:cs="Calibri"/>
          <w:sz w:val="24"/>
          <w:szCs w:val="24"/>
        </w:rPr>
        <w:t>22</w:t>
      </w:r>
      <w:r w:rsidR="001D65EE">
        <w:rPr>
          <w:rFonts w:eastAsia="Calibri" w:cs="Calibri"/>
          <w:sz w:val="24"/>
          <w:szCs w:val="24"/>
        </w:rPr>
        <w:t>2</w:t>
      </w:r>
      <w:r w:rsidR="00173C1E">
        <w:rPr>
          <w:rFonts w:eastAsia="Calibri" w:cs="Calibri"/>
          <w:sz w:val="24"/>
          <w:szCs w:val="24"/>
        </w:rPr>
        <w:t>,5</w:t>
      </w:r>
      <w:r>
        <w:rPr>
          <w:rFonts w:eastAsia="Calibri" w:cs="Calibri"/>
          <w:sz w:val="24"/>
          <w:szCs w:val="24"/>
        </w:rPr>
        <w:t xml:space="preserve"> млн. лв. към </w:t>
      </w:r>
      <w:r w:rsidR="001D65EE">
        <w:rPr>
          <w:rFonts w:eastAsia="Calibri" w:cs="Calibri"/>
          <w:sz w:val="24"/>
          <w:szCs w:val="24"/>
        </w:rPr>
        <w:t>30.06.</w:t>
      </w:r>
      <w:r>
        <w:rPr>
          <w:rFonts w:eastAsia="Calibri" w:cs="Calibri"/>
          <w:sz w:val="24"/>
          <w:szCs w:val="24"/>
        </w:rPr>
        <w:t>2017 г. спрямо 162 млн. лв. към 31.12.2016</w:t>
      </w:r>
      <w:r w:rsidR="00E85A1A">
        <w:rPr>
          <w:rFonts w:eastAsia="Calibri" w:cs="Calibri"/>
          <w:sz w:val="24"/>
          <w:szCs w:val="24"/>
        </w:rPr>
        <w:t xml:space="preserve"> </w:t>
      </w:r>
      <w:r>
        <w:rPr>
          <w:rFonts w:eastAsia="Calibri" w:cs="Calibri"/>
          <w:sz w:val="24"/>
          <w:szCs w:val="24"/>
        </w:rPr>
        <w:t>г.</w:t>
      </w:r>
      <w:r w:rsidDel="00FE20BB">
        <w:rPr>
          <w:rFonts w:eastAsia="Calibri" w:cs="Calibri"/>
          <w:sz w:val="24"/>
          <w:szCs w:val="24"/>
        </w:rPr>
        <w:t xml:space="preserve"> </w:t>
      </w:r>
      <w:r>
        <w:rPr>
          <w:rFonts w:eastAsia="Calibri" w:cs="Calibri"/>
          <w:sz w:val="24"/>
          <w:szCs w:val="24"/>
        </w:rPr>
        <w:t xml:space="preserve">Материалните запаси се увеличават с </w:t>
      </w:r>
      <w:r w:rsidR="001D65EE">
        <w:rPr>
          <w:rFonts w:eastAsia="Calibri" w:cs="Calibri"/>
          <w:sz w:val="24"/>
          <w:szCs w:val="24"/>
        </w:rPr>
        <w:t>6,5</w:t>
      </w:r>
      <w:r>
        <w:rPr>
          <w:rFonts w:eastAsia="Calibri" w:cs="Calibri"/>
          <w:sz w:val="24"/>
          <w:szCs w:val="24"/>
        </w:rPr>
        <w:t xml:space="preserve"> млн. лв. или </w:t>
      </w:r>
      <w:r w:rsidR="001D65EE">
        <w:rPr>
          <w:rFonts w:eastAsia="Calibri" w:cs="Calibri"/>
          <w:sz w:val="24"/>
          <w:szCs w:val="24"/>
        </w:rPr>
        <w:t>11</w:t>
      </w:r>
      <w:r>
        <w:rPr>
          <w:rFonts w:eastAsia="Calibri" w:cs="Calibri"/>
          <w:sz w:val="24"/>
          <w:szCs w:val="24"/>
        </w:rPr>
        <w:t xml:space="preserve">% спрямо 31.12.2016 г. основно от увеличение на запасите от готова продукция с </w:t>
      </w:r>
      <w:r w:rsidR="001D65EE">
        <w:rPr>
          <w:rFonts w:eastAsia="Calibri" w:cs="Calibri"/>
          <w:sz w:val="24"/>
          <w:szCs w:val="24"/>
        </w:rPr>
        <w:t>6,6</w:t>
      </w:r>
      <w:r>
        <w:rPr>
          <w:rFonts w:eastAsia="Calibri" w:cs="Calibri"/>
          <w:sz w:val="24"/>
          <w:szCs w:val="24"/>
        </w:rPr>
        <w:t xml:space="preserve"> млн. лв. и запасите от полуфабрикати с </w:t>
      </w:r>
      <w:r w:rsidR="001D65EE">
        <w:rPr>
          <w:rFonts w:eastAsia="Calibri" w:cs="Calibri"/>
          <w:sz w:val="24"/>
          <w:szCs w:val="24"/>
        </w:rPr>
        <w:t>1,9</w:t>
      </w:r>
      <w:r>
        <w:rPr>
          <w:rFonts w:eastAsia="Calibri" w:cs="Calibri"/>
          <w:sz w:val="24"/>
          <w:szCs w:val="24"/>
        </w:rPr>
        <w:t xml:space="preserve"> млн.</w:t>
      </w:r>
      <w:r w:rsidR="001D65EE">
        <w:rPr>
          <w:rFonts w:eastAsia="Calibri" w:cs="Calibri"/>
          <w:sz w:val="24"/>
          <w:szCs w:val="24"/>
        </w:rPr>
        <w:t xml:space="preserve"> лв, като намаление регистрират запасите от незавършено производство с 1.5 млн.</w:t>
      </w:r>
      <w:r>
        <w:rPr>
          <w:rFonts w:eastAsia="Calibri" w:cs="Calibri"/>
          <w:sz w:val="24"/>
          <w:szCs w:val="24"/>
        </w:rPr>
        <w:t xml:space="preserve"> лв. Вземанията от свързани предприятия се увеличават с 5</w:t>
      </w:r>
      <w:r w:rsidR="001D65EE">
        <w:rPr>
          <w:rFonts w:eastAsia="Calibri" w:cs="Calibri"/>
          <w:sz w:val="24"/>
          <w:szCs w:val="24"/>
        </w:rPr>
        <w:t>1,4</w:t>
      </w:r>
      <w:r>
        <w:rPr>
          <w:rFonts w:eastAsia="Calibri" w:cs="Calibri"/>
          <w:sz w:val="24"/>
          <w:szCs w:val="24"/>
        </w:rPr>
        <w:t xml:space="preserve"> млн. лв.</w:t>
      </w:r>
      <w:r w:rsidR="009F25DB">
        <w:rPr>
          <w:rFonts w:eastAsia="Calibri" w:cs="Calibri"/>
          <w:sz w:val="24"/>
          <w:szCs w:val="24"/>
        </w:rPr>
        <w:t>, като</w:t>
      </w:r>
      <w:r>
        <w:rPr>
          <w:rFonts w:eastAsia="Calibri" w:cs="Calibri"/>
          <w:sz w:val="24"/>
          <w:szCs w:val="24"/>
        </w:rPr>
        <w:t xml:space="preserve"> в частта на вземания по продажби на продукция и материали </w:t>
      </w:r>
      <w:r w:rsidR="009F25DB">
        <w:rPr>
          <w:rFonts w:eastAsia="Calibri" w:cs="Calibri"/>
          <w:sz w:val="24"/>
          <w:szCs w:val="24"/>
        </w:rPr>
        <w:t xml:space="preserve">увеличението е </w:t>
      </w:r>
      <w:r>
        <w:rPr>
          <w:rFonts w:eastAsia="Calibri" w:cs="Calibri"/>
          <w:sz w:val="24"/>
          <w:szCs w:val="24"/>
        </w:rPr>
        <w:t xml:space="preserve">с </w:t>
      </w:r>
      <w:r w:rsidR="001D65EE">
        <w:rPr>
          <w:rFonts w:eastAsia="Calibri" w:cs="Calibri"/>
          <w:sz w:val="24"/>
          <w:szCs w:val="24"/>
        </w:rPr>
        <w:t>9</w:t>
      </w:r>
      <w:r>
        <w:rPr>
          <w:rFonts w:eastAsia="Calibri" w:cs="Calibri"/>
          <w:sz w:val="24"/>
          <w:szCs w:val="24"/>
        </w:rPr>
        <w:t xml:space="preserve"> млн. лв.</w:t>
      </w:r>
      <w:r w:rsidR="0005770E">
        <w:rPr>
          <w:rFonts w:eastAsia="Calibri" w:cs="Calibri"/>
          <w:sz w:val="24"/>
          <w:szCs w:val="24"/>
        </w:rPr>
        <w:t xml:space="preserve">, </w:t>
      </w:r>
      <w:r>
        <w:rPr>
          <w:rFonts w:eastAsia="Calibri" w:cs="Calibri"/>
          <w:sz w:val="24"/>
          <w:szCs w:val="24"/>
        </w:rPr>
        <w:t xml:space="preserve">в частта на предоставените търговски заеми </w:t>
      </w:r>
      <w:r w:rsidR="009F25DB">
        <w:rPr>
          <w:rFonts w:eastAsia="Calibri" w:cs="Calibri"/>
          <w:sz w:val="24"/>
          <w:szCs w:val="24"/>
        </w:rPr>
        <w:t xml:space="preserve">увеличението е </w:t>
      </w:r>
      <w:r>
        <w:rPr>
          <w:rFonts w:eastAsia="Calibri" w:cs="Calibri"/>
          <w:sz w:val="24"/>
          <w:szCs w:val="24"/>
        </w:rPr>
        <w:t xml:space="preserve">с </w:t>
      </w:r>
      <w:r w:rsidR="001D65EE">
        <w:rPr>
          <w:rFonts w:eastAsia="Calibri" w:cs="Calibri"/>
          <w:sz w:val="24"/>
          <w:szCs w:val="24"/>
        </w:rPr>
        <w:t xml:space="preserve">35 </w:t>
      </w:r>
      <w:r>
        <w:rPr>
          <w:rFonts w:eastAsia="Calibri" w:cs="Calibri"/>
          <w:sz w:val="24"/>
          <w:szCs w:val="24"/>
        </w:rPr>
        <w:t>млн. лв.</w:t>
      </w:r>
      <w:r w:rsidR="00E85A1A">
        <w:rPr>
          <w:rFonts w:eastAsia="Calibri" w:cs="Calibri"/>
          <w:sz w:val="24"/>
          <w:szCs w:val="24"/>
        </w:rPr>
        <w:t xml:space="preserve"> </w:t>
      </w:r>
      <w:r w:rsidR="0005770E">
        <w:rPr>
          <w:rFonts w:eastAsia="Calibri" w:cs="Calibri"/>
          <w:sz w:val="24"/>
          <w:szCs w:val="24"/>
        </w:rPr>
        <w:t xml:space="preserve">и в частта вземания от дивиденти със 7,4 млн. лв. </w:t>
      </w:r>
      <w:r w:rsidR="009F25DB" w:rsidRPr="009F25DB">
        <w:rPr>
          <w:rFonts w:eastAsia="Calibri" w:cs="Calibri"/>
          <w:sz w:val="24"/>
          <w:szCs w:val="24"/>
        </w:rPr>
        <w:t>Предоставените краткосрочни заеми на свързани предприятия са с цел подпомагане финансиране на дейности на тези предприятия по общи стратегич</w:t>
      </w:r>
      <w:r w:rsidR="009F25DB">
        <w:rPr>
          <w:rFonts w:eastAsia="Calibri" w:cs="Calibri"/>
          <w:sz w:val="24"/>
          <w:szCs w:val="24"/>
        </w:rPr>
        <w:t>е</w:t>
      </w:r>
      <w:r w:rsidR="009F25DB" w:rsidRPr="009F25DB">
        <w:rPr>
          <w:rFonts w:eastAsia="Calibri" w:cs="Calibri"/>
          <w:sz w:val="24"/>
          <w:szCs w:val="24"/>
        </w:rPr>
        <w:t>ски цели. Те</w:t>
      </w:r>
      <w:r w:rsidR="009F25DB">
        <w:rPr>
          <w:rFonts w:eastAsia="Calibri" w:cs="Calibri"/>
          <w:sz w:val="24"/>
          <w:szCs w:val="24"/>
        </w:rPr>
        <w:t>зи заеми</w:t>
      </w:r>
      <w:r w:rsidR="009F25DB" w:rsidRPr="009F25DB">
        <w:rPr>
          <w:rFonts w:eastAsia="Calibri" w:cs="Calibri"/>
          <w:sz w:val="24"/>
          <w:szCs w:val="24"/>
        </w:rPr>
        <w:t xml:space="preserve"> са обезпечени със залози на дружествени дялове и ценни книжа</w:t>
      </w:r>
      <w:r w:rsidR="009F25DB" w:rsidRPr="009F25DB">
        <w:rPr>
          <w:rFonts w:eastAsia="Calibri" w:cs="Calibri"/>
          <w:sz w:val="24"/>
          <w:szCs w:val="24"/>
          <w:lang w:val="en-US"/>
        </w:rPr>
        <w:t xml:space="preserve"> </w:t>
      </w:r>
      <w:r w:rsidR="009F25DB" w:rsidRPr="009F25DB">
        <w:rPr>
          <w:rFonts w:eastAsia="Calibri" w:cs="Calibri"/>
          <w:sz w:val="24"/>
          <w:szCs w:val="24"/>
        </w:rPr>
        <w:t>(акции</w:t>
      </w:r>
      <w:r w:rsidR="009F25DB" w:rsidRPr="009F25DB">
        <w:rPr>
          <w:rFonts w:eastAsia="Calibri" w:cs="Calibri"/>
          <w:sz w:val="24"/>
          <w:szCs w:val="24"/>
          <w:lang w:val="en-US"/>
        </w:rPr>
        <w:t>)</w:t>
      </w:r>
      <w:r w:rsidR="009F25DB" w:rsidRPr="009F25DB">
        <w:rPr>
          <w:rFonts w:eastAsia="Calibri" w:cs="Calibri"/>
          <w:sz w:val="24"/>
          <w:szCs w:val="24"/>
        </w:rPr>
        <w:t>.</w:t>
      </w:r>
      <w:r w:rsidR="009F25DB">
        <w:rPr>
          <w:rFonts w:eastAsia="Calibri" w:cs="Calibri"/>
          <w:sz w:val="24"/>
          <w:szCs w:val="24"/>
        </w:rPr>
        <w:t xml:space="preserve"> Към датата на съставяне на финансовия отчет 29,7 млн. от временно предоставените </w:t>
      </w:r>
      <w:r w:rsidR="009F25DB" w:rsidRPr="009F25DB">
        <w:rPr>
          <w:rFonts w:eastAsia="Calibri" w:cs="Calibri"/>
          <w:sz w:val="24"/>
          <w:szCs w:val="24"/>
        </w:rPr>
        <w:t>през второто тримесе</w:t>
      </w:r>
      <w:r w:rsidR="009F25DB">
        <w:rPr>
          <w:rFonts w:eastAsia="Calibri" w:cs="Calibri"/>
          <w:sz w:val="24"/>
          <w:szCs w:val="24"/>
        </w:rPr>
        <w:t>чие краткосрочни заеми в размер на 35 млн. лв. са обратно погасени към Дружеството.</w:t>
      </w:r>
    </w:p>
    <w:p w:rsidR="00F80195" w:rsidRPr="00AE6DEE" w:rsidRDefault="00F80195" w:rsidP="00F80195">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 xml:space="preserve">Паричните средства и парични еквиваленти намаляват с </w:t>
      </w:r>
      <w:r w:rsidR="001D65EE">
        <w:rPr>
          <w:rFonts w:eastAsia="Calibri" w:cs="Calibri"/>
          <w:sz w:val="24"/>
          <w:szCs w:val="24"/>
        </w:rPr>
        <w:t>2,8</w:t>
      </w:r>
      <w:r>
        <w:rPr>
          <w:rFonts w:eastAsia="Calibri" w:cs="Calibri"/>
          <w:sz w:val="24"/>
          <w:szCs w:val="24"/>
        </w:rPr>
        <w:t xml:space="preserve"> млн. лв. и към </w:t>
      </w:r>
      <w:r w:rsidR="001D65EE">
        <w:rPr>
          <w:rFonts w:eastAsia="Calibri" w:cs="Calibri"/>
          <w:sz w:val="24"/>
          <w:szCs w:val="24"/>
        </w:rPr>
        <w:t>30</w:t>
      </w:r>
      <w:r>
        <w:rPr>
          <w:rFonts w:eastAsia="Calibri" w:cs="Calibri"/>
          <w:sz w:val="24"/>
          <w:szCs w:val="24"/>
        </w:rPr>
        <w:t>.</w:t>
      </w:r>
      <w:r w:rsidR="001D65EE">
        <w:rPr>
          <w:rFonts w:eastAsia="Calibri" w:cs="Calibri"/>
          <w:sz w:val="24"/>
          <w:szCs w:val="24"/>
        </w:rPr>
        <w:t>06</w:t>
      </w:r>
      <w:r>
        <w:rPr>
          <w:rFonts w:eastAsia="Calibri" w:cs="Calibri"/>
          <w:sz w:val="24"/>
          <w:szCs w:val="24"/>
        </w:rPr>
        <w:t xml:space="preserve">.2017 г. са </w:t>
      </w:r>
      <w:r w:rsidR="001D65EE">
        <w:rPr>
          <w:rFonts w:eastAsia="Calibri" w:cs="Calibri"/>
          <w:sz w:val="24"/>
          <w:szCs w:val="24"/>
        </w:rPr>
        <w:t>1,5</w:t>
      </w:r>
      <w:r>
        <w:rPr>
          <w:rFonts w:eastAsia="Calibri" w:cs="Calibri"/>
          <w:sz w:val="24"/>
          <w:szCs w:val="24"/>
        </w:rPr>
        <w:t xml:space="preserve"> млн. лв. спрямо 4,3 млн. лв. към 31.12.2016 г.</w:t>
      </w:r>
    </w:p>
    <w:p w:rsidR="00F30840" w:rsidRDefault="00F30840" w:rsidP="00E85A1A">
      <w:pPr>
        <w:suppressAutoHyphens/>
        <w:autoSpaceDN w:val="0"/>
        <w:spacing w:before="40" w:after="40" w:line="240" w:lineRule="auto"/>
        <w:jc w:val="both"/>
        <w:textAlignment w:val="baseline"/>
        <w:rPr>
          <w:rFonts w:eastAsia="Calibri" w:cs="Calibri"/>
          <w:i/>
          <w:color w:val="1F497D"/>
          <w:sz w:val="24"/>
          <w:szCs w:val="24"/>
          <w:lang w:eastAsia="en-US"/>
        </w:rPr>
      </w:pPr>
    </w:p>
    <w:p w:rsidR="00E85A1A" w:rsidRDefault="00F80195" w:rsidP="00E85A1A">
      <w:pPr>
        <w:suppressAutoHyphens/>
        <w:autoSpaceDN w:val="0"/>
        <w:spacing w:before="40" w:after="40" w:line="240" w:lineRule="auto"/>
        <w:jc w:val="both"/>
        <w:textAlignment w:val="baseline"/>
        <w:rPr>
          <w:rFonts w:eastAsia="Calibri" w:cs="Calibri"/>
          <w:i/>
          <w:color w:val="1F497D"/>
          <w:sz w:val="24"/>
          <w:szCs w:val="24"/>
          <w:lang w:eastAsia="en-US"/>
        </w:rPr>
      </w:pPr>
      <w:r w:rsidRPr="00E85A1A">
        <w:rPr>
          <w:rFonts w:eastAsia="Calibri" w:cs="Calibri"/>
          <w:i/>
          <w:color w:val="1F497D"/>
          <w:sz w:val="24"/>
          <w:szCs w:val="24"/>
          <w:lang w:eastAsia="en-US"/>
        </w:rPr>
        <w:t>Собствен капитал и пасиви</w:t>
      </w:r>
    </w:p>
    <w:p w:rsidR="001B5A5A" w:rsidRDefault="001B5A5A" w:rsidP="00F80195">
      <w:pPr>
        <w:jc w:val="both"/>
        <w:rPr>
          <w:rFonts w:eastAsia="Calibri" w:cs="Calibri"/>
          <w:sz w:val="24"/>
          <w:szCs w:val="24"/>
        </w:rPr>
      </w:pPr>
    </w:p>
    <w:tbl>
      <w:tblPr>
        <w:tblW w:w="9422" w:type="dxa"/>
        <w:tblInd w:w="70" w:type="dxa"/>
        <w:tblCellMar>
          <w:left w:w="70" w:type="dxa"/>
          <w:right w:w="70" w:type="dxa"/>
        </w:tblCellMar>
        <w:tblLook w:val="04A0" w:firstRow="1" w:lastRow="0" w:firstColumn="1" w:lastColumn="0" w:noHBand="0" w:noVBand="1"/>
      </w:tblPr>
      <w:tblGrid>
        <w:gridCol w:w="4820"/>
        <w:gridCol w:w="1134"/>
        <w:gridCol w:w="1134"/>
        <w:gridCol w:w="1134"/>
        <w:gridCol w:w="1200"/>
      </w:tblGrid>
      <w:tr w:rsidR="001B5A5A" w:rsidRPr="001B5A5A" w:rsidTr="00893A2E">
        <w:trPr>
          <w:trHeight w:val="878"/>
        </w:trPr>
        <w:tc>
          <w:tcPr>
            <w:tcW w:w="4820" w:type="dxa"/>
            <w:vMerge w:val="restart"/>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r w:rsidRPr="001B5A5A">
              <w:rPr>
                <w:rFonts w:eastAsia="Times New Roman" w:cs="Arial"/>
                <w:b/>
                <w:bCs/>
                <w:sz w:val="20"/>
                <w:szCs w:val="20"/>
              </w:rPr>
              <w:t>СОБСТВЕН КАПИТАЛ</w:t>
            </w:r>
          </w:p>
        </w:tc>
        <w:tc>
          <w:tcPr>
            <w:tcW w:w="1134" w:type="dxa"/>
            <w:tcBorders>
              <w:top w:val="nil"/>
              <w:left w:val="nil"/>
              <w:bottom w:val="nil"/>
              <w:right w:val="nil"/>
            </w:tcBorders>
            <w:shd w:val="clear" w:color="000000" w:fill="DCE6F1"/>
            <w:noWrap/>
            <w:vAlign w:val="center"/>
            <w:hideMark/>
          </w:tcPr>
          <w:p w:rsidR="001B5A5A" w:rsidRPr="001B5A5A" w:rsidRDefault="001B5A5A" w:rsidP="008659B5">
            <w:pPr>
              <w:spacing w:after="0" w:line="240" w:lineRule="auto"/>
              <w:jc w:val="right"/>
              <w:rPr>
                <w:rFonts w:eastAsia="Times New Roman" w:cs="Arial"/>
                <w:b/>
                <w:bCs/>
                <w:sz w:val="20"/>
                <w:szCs w:val="20"/>
              </w:rPr>
            </w:pPr>
            <w:r w:rsidRPr="001B5A5A">
              <w:rPr>
                <w:rFonts w:eastAsia="Times New Roman" w:cs="Arial"/>
                <w:b/>
                <w:bCs/>
                <w:sz w:val="20"/>
                <w:szCs w:val="20"/>
              </w:rPr>
              <w:t>30.06.2017</w:t>
            </w:r>
          </w:p>
        </w:tc>
        <w:tc>
          <w:tcPr>
            <w:tcW w:w="1134" w:type="dxa"/>
            <w:tcBorders>
              <w:top w:val="nil"/>
              <w:left w:val="nil"/>
              <w:bottom w:val="nil"/>
              <w:right w:val="nil"/>
            </w:tcBorders>
            <w:shd w:val="clear" w:color="000000" w:fill="C5D9F1"/>
            <w:noWrap/>
            <w:vAlign w:val="center"/>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31.12.2016</w:t>
            </w:r>
          </w:p>
        </w:tc>
        <w:tc>
          <w:tcPr>
            <w:tcW w:w="1134"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b/>
                <w:bCs/>
                <w:sz w:val="20"/>
                <w:szCs w:val="20"/>
              </w:rPr>
            </w:pPr>
            <w:r w:rsidRPr="001B5A5A">
              <w:rPr>
                <w:rFonts w:eastAsia="Times New Roman" w:cs="Arial"/>
                <w:b/>
                <w:bCs/>
                <w:sz w:val="20"/>
                <w:szCs w:val="20"/>
              </w:rPr>
              <w:t>промяна</w:t>
            </w:r>
          </w:p>
        </w:tc>
        <w:tc>
          <w:tcPr>
            <w:tcW w:w="1200" w:type="dxa"/>
            <w:tcBorders>
              <w:top w:val="nil"/>
              <w:left w:val="nil"/>
              <w:bottom w:val="nil"/>
              <w:right w:val="nil"/>
            </w:tcBorders>
            <w:shd w:val="clear" w:color="auto" w:fill="auto"/>
            <w:vAlign w:val="center"/>
            <w:hideMark/>
          </w:tcPr>
          <w:p w:rsidR="001B5A5A" w:rsidRPr="001B5A5A" w:rsidRDefault="001B5A5A" w:rsidP="00893A2E">
            <w:pPr>
              <w:spacing w:after="0" w:line="240" w:lineRule="auto"/>
              <w:jc w:val="right"/>
              <w:rPr>
                <w:rFonts w:eastAsia="Times New Roman" w:cs="Arial"/>
                <w:b/>
                <w:bCs/>
                <w:sz w:val="20"/>
                <w:szCs w:val="20"/>
              </w:rPr>
            </w:pPr>
            <w:r w:rsidRPr="001B5A5A">
              <w:rPr>
                <w:rFonts w:eastAsia="Times New Roman" w:cs="Arial"/>
                <w:b/>
                <w:bCs/>
                <w:sz w:val="20"/>
                <w:szCs w:val="20"/>
              </w:rPr>
              <w:t>отн.</w:t>
            </w:r>
            <w:r w:rsidR="00C13AE1">
              <w:rPr>
                <w:rFonts w:eastAsia="Times New Roman" w:cs="Arial"/>
                <w:b/>
                <w:bCs/>
                <w:sz w:val="20"/>
                <w:szCs w:val="20"/>
              </w:rPr>
              <w:t xml:space="preserve"> </w:t>
            </w:r>
            <w:r w:rsidRPr="001B5A5A">
              <w:rPr>
                <w:rFonts w:eastAsia="Times New Roman" w:cs="Arial"/>
                <w:b/>
                <w:bCs/>
                <w:sz w:val="20"/>
                <w:szCs w:val="20"/>
              </w:rPr>
              <w:t>дял спрямо СК 2017</w:t>
            </w:r>
          </w:p>
        </w:tc>
      </w:tr>
      <w:tr w:rsidR="001B5A5A" w:rsidRPr="001B5A5A" w:rsidTr="00893A2E">
        <w:trPr>
          <w:trHeight w:val="300"/>
        </w:trPr>
        <w:tc>
          <w:tcPr>
            <w:tcW w:w="4820" w:type="dxa"/>
            <w:vMerge/>
            <w:tcBorders>
              <w:top w:val="nil"/>
              <w:left w:val="nil"/>
              <w:bottom w:val="nil"/>
              <w:right w:val="nil"/>
            </w:tcBorders>
            <w:vAlign w:val="center"/>
            <w:hideMark/>
          </w:tcPr>
          <w:p w:rsidR="001B5A5A" w:rsidRPr="001B5A5A" w:rsidRDefault="001B5A5A" w:rsidP="001B5A5A">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sz w:val="20"/>
                <w:szCs w:val="20"/>
              </w:rPr>
            </w:pPr>
            <w:r w:rsidRPr="001B5A5A">
              <w:rPr>
                <w:rFonts w:eastAsia="Times New Roman" w:cs="Arial"/>
                <w:b/>
                <w:bCs/>
                <w:sz w:val="20"/>
                <w:szCs w:val="20"/>
              </w:rPr>
              <w:t>BGN '000</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BGN '000</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w:t>
            </w:r>
          </w:p>
        </w:tc>
      </w:tr>
      <w:tr w:rsidR="001B5A5A" w:rsidRPr="001B5A5A" w:rsidTr="00893A2E">
        <w:trPr>
          <w:trHeight w:val="300"/>
        </w:trPr>
        <w:tc>
          <w:tcPr>
            <w:tcW w:w="4820" w:type="dxa"/>
            <w:tcBorders>
              <w:top w:val="nil"/>
              <w:left w:val="nil"/>
              <w:bottom w:val="nil"/>
              <w:right w:val="nil"/>
            </w:tcBorders>
            <w:shd w:val="clear" w:color="auto" w:fill="auto"/>
            <w:noWrap/>
            <w:vAlign w:val="bottom"/>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Основен акционерен капитал</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134 798</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134 798</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0%</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28%</w:t>
            </w:r>
          </w:p>
        </w:tc>
      </w:tr>
      <w:tr w:rsidR="001B5A5A" w:rsidRPr="001B5A5A" w:rsidTr="00893A2E">
        <w:trPr>
          <w:trHeight w:val="300"/>
        </w:trPr>
        <w:tc>
          <w:tcPr>
            <w:tcW w:w="4820" w:type="dxa"/>
            <w:tcBorders>
              <w:top w:val="nil"/>
              <w:left w:val="nil"/>
              <w:bottom w:val="nil"/>
              <w:right w:val="nil"/>
            </w:tcBorders>
            <w:shd w:val="clear" w:color="auto" w:fill="auto"/>
            <w:noWrap/>
            <w:vAlign w:val="bottom"/>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Обратно изкупени собствени акции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 xml:space="preserve"> (18 262)</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(18 809)</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-3%</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r>
      <w:tr w:rsidR="001B5A5A" w:rsidRPr="001B5A5A" w:rsidTr="00893A2E">
        <w:trPr>
          <w:trHeight w:val="300"/>
        </w:trPr>
        <w:tc>
          <w:tcPr>
            <w:tcW w:w="4820" w:type="dxa"/>
            <w:tcBorders>
              <w:top w:val="nil"/>
              <w:left w:val="nil"/>
              <w:bottom w:val="nil"/>
              <w:right w:val="nil"/>
            </w:tcBorders>
            <w:shd w:val="clear" w:color="auto" w:fill="auto"/>
            <w:noWrap/>
            <w:vAlign w:val="bottom"/>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Резерви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329 955</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304 403</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8%</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68%</w:t>
            </w:r>
          </w:p>
        </w:tc>
      </w:tr>
      <w:tr w:rsidR="001B5A5A" w:rsidRPr="001B5A5A" w:rsidTr="00893A2E">
        <w:trPr>
          <w:trHeight w:val="300"/>
        </w:trPr>
        <w:tc>
          <w:tcPr>
            <w:tcW w:w="4820" w:type="dxa"/>
            <w:tcBorders>
              <w:top w:val="nil"/>
              <w:left w:val="nil"/>
              <w:bottom w:val="nil"/>
              <w:right w:val="nil"/>
            </w:tcBorders>
            <w:shd w:val="clear" w:color="auto" w:fill="auto"/>
            <w:noWrap/>
            <w:vAlign w:val="bottom"/>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Неразпределена печалба</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36 047</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42 483</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-15%</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7%</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r w:rsidRPr="001B5A5A">
              <w:rPr>
                <w:rFonts w:eastAsia="Times New Roman" w:cs="Arial"/>
                <w:b/>
                <w:bCs/>
                <w:sz w:val="20"/>
                <w:szCs w:val="20"/>
              </w:rPr>
              <w:t xml:space="preserve">ОБЩО СОБСТВЕН КАПИТАЛ </w:t>
            </w:r>
          </w:p>
        </w:tc>
        <w:tc>
          <w:tcPr>
            <w:tcW w:w="1134" w:type="dxa"/>
            <w:tcBorders>
              <w:top w:val="single" w:sz="4" w:space="0" w:color="auto"/>
              <w:left w:val="nil"/>
              <w:bottom w:val="single" w:sz="4"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i/>
                <w:iCs/>
                <w:sz w:val="20"/>
                <w:szCs w:val="20"/>
              </w:rPr>
            </w:pPr>
            <w:r w:rsidRPr="001B5A5A">
              <w:rPr>
                <w:rFonts w:eastAsia="Times New Roman" w:cs="Arial"/>
                <w:b/>
                <w:bCs/>
                <w:i/>
                <w:iCs/>
                <w:sz w:val="20"/>
                <w:szCs w:val="20"/>
              </w:rPr>
              <w:t>482 538</w:t>
            </w:r>
          </w:p>
        </w:tc>
        <w:tc>
          <w:tcPr>
            <w:tcW w:w="1134" w:type="dxa"/>
            <w:tcBorders>
              <w:top w:val="single" w:sz="4" w:space="0" w:color="auto"/>
              <w:left w:val="nil"/>
              <w:bottom w:val="single" w:sz="4"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i/>
                <w:iCs/>
                <w:sz w:val="20"/>
                <w:szCs w:val="20"/>
              </w:rPr>
            </w:pPr>
            <w:r w:rsidRPr="001B5A5A">
              <w:rPr>
                <w:rFonts w:eastAsia="Times New Roman" w:cs="Arial"/>
                <w:b/>
                <w:bCs/>
                <w:i/>
                <w:iCs/>
                <w:sz w:val="20"/>
                <w:szCs w:val="20"/>
              </w:rPr>
              <w:t>462 875</w:t>
            </w:r>
          </w:p>
        </w:tc>
        <w:tc>
          <w:tcPr>
            <w:tcW w:w="1134"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c>
          <w:tcPr>
            <w:tcW w:w="1200"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100%</w:t>
            </w:r>
          </w:p>
        </w:tc>
      </w:tr>
      <w:tr w:rsidR="001B5A5A" w:rsidRPr="001B5A5A" w:rsidTr="00893A2E">
        <w:trPr>
          <w:trHeight w:val="1069"/>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center"/>
            <w:hideMark/>
          </w:tcPr>
          <w:p w:rsidR="001B5A5A" w:rsidRPr="001B5A5A" w:rsidRDefault="001B5A5A" w:rsidP="008659B5">
            <w:pPr>
              <w:spacing w:after="0" w:line="240" w:lineRule="auto"/>
              <w:jc w:val="right"/>
              <w:rPr>
                <w:rFonts w:eastAsia="Times New Roman" w:cs="Arial"/>
                <w:b/>
                <w:bCs/>
                <w:sz w:val="20"/>
                <w:szCs w:val="20"/>
              </w:rPr>
            </w:pPr>
            <w:r w:rsidRPr="001B5A5A">
              <w:rPr>
                <w:rFonts w:eastAsia="Times New Roman" w:cs="Arial"/>
                <w:b/>
                <w:bCs/>
                <w:sz w:val="20"/>
                <w:szCs w:val="20"/>
              </w:rPr>
              <w:t>30.06.2017</w:t>
            </w:r>
          </w:p>
        </w:tc>
        <w:tc>
          <w:tcPr>
            <w:tcW w:w="1134" w:type="dxa"/>
            <w:tcBorders>
              <w:top w:val="nil"/>
              <w:left w:val="nil"/>
              <w:bottom w:val="nil"/>
              <w:right w:val="nil"/>
            </w:tcBorders>
            <w:shd w:val="clear" w:color="000000" w:fill="C5D9F1"/>
            <w:noWrap/>
            <w:vAlign w:val="center"/>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31.12.2016</w:t>
            </w:r>
          </w:p>
        </w:tc>
        <w:tc>
          <w:tcPr>
            <w:tcW w:w="1134"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b/>
                <w:bCs/>
                <w:sz w:val="20"/>
                <w:szCs w:val="20"/>
              </w:rPr>
            </w:pPr>
            <w:r w:rsidRPr="001B5A5A">
              <w:rPr>
                <w:rFonts w:eastAsia="Times New Roman" w:cs="Arial"/>
                <w:b/>
                <w:bCs/>
                <w:sz w:val="20"/>
                <w:szCs w:val="20"/>
              </w:rPr>
              <w:t>промяна</w:t>
            </w:r>
          </w:p>
        </w:tc>
        <w:tc>
          <w:tcPr>
            <w:tcW w:w="1200" w:type="dxa"/>
            <w:tcBorders>
              <w:top w:val="nil"/>
              <w:left w:val="nil"/>
              <w:bottom w:val="nil"/>
              <w:right w:val="nil"/>
            </w:tcBorders>
            <w:shd w:val="clear" w:color="auto" w:fill="auto"/>
            <w:vAlign w:val="center"/>
            <w:hideMark/>
          </w:tcPr>
          <w:p w:rsidR="001B5A5A" w:rsidRPr="001B5A5A" w:rsidRDefault="001B5A5A" w:rsidP="00893A2E">
            <w:pPr>
              <w:spacing w:after="0" w:line="240" w:lineRule="auto"/>
              <w:jc w:val="right"/>
              <w:rPr>
                <w:rFonts w:eastAsia="Times New Roman" w:cs="Arial"/>
                <w:b/>
                <w:bCs/>
                <w:sz w:val="20"/>
                <w:szCs w:val="20"/>
              </w:rPr>
            </w:pPr>
            <w:r w:rsidRPr="001B5A5A">
              <w:rPr>
                <w:rFonts w:eastAsia="Times New Roman" w:cs="Arial"/>
                <w:b/>
                <w:bCs/>
                <w:sz w:val="20"/>
                <w:szCs w:val="20"/>
              </w:rPr>
              <w:t>отн.</w:t>
            </w:r>
            <w:r w:rsidR="00C13AE1">
              <w:rPr>
                <w:rFonts w:eastAsia="Times New Roman" w:cs="Arial"/>
                <w:b/>
                <w:bCs/>
                <w:sz w:val="20"/>
                <w:szCs w:val="20"/>
              </w:rPr>
              <w:t xml:space="preserve"> </w:t>
            </w:r>
            <w:r w:rsidRPr="001B5A5A">
              <w:rPr>
                <w:rFonts w:eastAsia="Times New Roman" w:cs="Arial"/>
                <w:b/>
                <w:bCs/>
                <w:sz w:val="20"/>
                <w:szCs w:val="20"/>
              </w:rPr>
              <w:t>дял спрямо общо пасиви 2017</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sz w:val="20"/>
                <w:szCs w:val="20"/>
              </w:rPr>
            </w:pPr>
            <w:r w:rsidRPr="001B5A5A">
              <w:rPr>
                <w:rFonts w:eastAsia="Times New Roman" w:cs="Arial"/>
                <w:b/>
                <w:bCs/>
                <w:sz w:val="20"/>
                <w:szCs w:val="20"/>
              </w:rPr>
              <w:t>BGN '000</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BGN '000</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b/>
                <w:bCs/>
                <w:sz w:val="20"/>
                <w:szCs w:val="20"/>
              </w:rPr>
            </w:pPr>
            <w:r w:rsidRPr="001B5A5A">
              <w:rPr>
                <w:rFonts w:eastAsia="Times New Roman" w:cs="Arial"/>
                <w:b/>
                <w:bCs/>
                <w:sz w:val="20"/>
                <w:szCs w:val="20"/>
              </w:rPr>
              <w:t>%</w:t>
            </w:r>
          </w:p>
        </w:tc>
      </w:tr>
      <w:tr w:rsidR="001B5A5A" w:rsidRPr="001B5A5A" w:rsidTr="00893A2E">
        <w:trPr>
          <w:trHeight w:val="255"/>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r w:rsidRPr="001B5A5A">
              <w:rPr>
                <w:rFonts w:eastAsia="Times New Roman" w:cs="Arial"/>
                <w:b/>
                <w:bCs/>
                <w:sz w:val="20"/>
                <w:szCs w:val="20"/>
              </w:rPr>
              <w:t>ПАСИВИ</w:t>
            </w:r>
          </w:p>
        </w:tc>
        <w:tc>
          <w:tcPr>
            <w:tcW w:w="1134" w:type="dxa"/>
            <w:tcBorders>
              <w:top w:val="nil"/>
              <w:left w:val="nil"/>
              <w:bottom w:val="nil"/>
              <w:right w:val="nil"/>
            </w:tcBorders>
            <w:shd w:val="clear" w:color="000000" w:fill="DCE6F1"/>
            <w:noWrap/>
            <w:vAlign w:val="bottom"/>
            <w:hideMark/>
          </w:tcPr>
          <w:p w:rsidR="001B5A5A" w:rsidRPr="001B5A5A" w:rsidRDefault="001B5A5A" w:rsidP="00893A2E">
            <w:pPr>
              <w:spacing w:after="0" w:line="240" w:lineRule="auto"/>
              <w:jc w:val="right"/>
              <w:rPr>
                <w:rFonts w:eastAsia="Times New Roman" w:cs="Arial"/>
                <w:b/>
                <w:bCs/>
                <w:i/>
                <w:iCs/>
                <w:sz w:val="20"/>
                <w:szCs w:val="20"/>
              </w:rPr>
            </w:pPr>
            <w:r w:rsidRPr="001B5A5A">
              <w:rPr>
                <w:rFonts w:eastAsia="Times New Roman" w:cs="Arial"/>
                <w:b/>
                <w:bCs/>
                <w:i/>
                <w:iCs/>
                <w:sz w:val="20"/>
                <w:szCs w:val="20"/>
              </w:rPr>
              <w:t> </w:t>
            </w:r>
          </w:p>
        </w:tc>
        <w:tc>
          <w:tcPr>
            <w:tcW w:w="1134" w:type="dxa"/>
            <w:tcBorders>
              <w:top w:val="nil"/>
              <w:left w:val="nil"/>
              <w:bottom w:val="nil"/>
              <w:right w:val="nil"/>
            </w:tcBorders>
            <w:shd w:val="clear" w:color="000000" w:fill="C5D9F1"/>
            <w:noWrap/>
            <w:vAlign w:val="bottom"/>
            <w:hideMark/>
          </w:tcPr>
          <w:p w:rsidR="001B5A5A" w:rsidRPr="001B5A5A" w:rsidRDefault="001B5A5A" w:rsidP="00893A2E">
            <w:pPr>
              <w:spacing w:after="0" w:line="240" w:lineRule="auto"/>
              <w:jc w:val="right"/>
              <w:rPr>
                <w:rFonts w:eastAsia="Times New Roman" w:cs="Arial"/>
                <w:b/>
                <w:bCs/>
                <w:i/>
                <w:iCs/>
                <w:sz w:val="20"/>
                <w:szCs w:val="20"/>
              </w:rPr>
            </w:pPr>
            <w:r w:rsidRPr="001B5A5A">
              <w:rPr>
                <w:rFonts w:eastAsia="Times New Roman" w:cs="Arial"/>
                <w:b/>
                <w:bCs/>
                <w:i/>
                <w:iCs/>
                <w:sz w:val="20"/>
                <w:szCs w:val="20"/>
              </w:rPr>
              <w:t> </w:t>
            </w:r>
          </w:p>
        </w:tc>
        <w:tc>
          <w:tcPr>
            <w:tcW w:w="1134"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c>
          <w:tcPr>
            <w:tcW w:w="1200"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r>
      <w:tr w:rsidR="001B5A5A" w:rsidRPr="001B5A5A" w:rsidTr="00893A2E">
        <w:trPr>
          <w:trHeight w:val="24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r w:rsidRPr="001B5A5A">
              <w:rPr>
                <w:rFonts w:eastAsia="Times New Roman" w:cs="Arial"/>
                <w:b/>
                <w:bCs/>
                <w:sz w:val="20"/>
                <w:szCs w:val="20"/>
              </w:rPr>
              <w:t>Нетекущи задължения</w:t>
            </w:r>
          </w:p>
        </w:tc>
        <w:tc>
          <w:tcPr>
            <w:tcW w:w="1134" w:type="dxa"/>
            <w:tcBorders>
              <w:top w:val="nil"/>
              <w:left w:val="nil"/>
              <w:bottom w:val="nil"/>
              <w:right w:val="nil"/>
            </w:tcBorders>
            <w:shd w:val="clear" w:color="000000" w:fill="DCE6F1"/>
            <w:noWrap/>
            <w:vAlign w:val="bottom"/>
            <w:hideMark/>
          </w:tcPr>
          <w:p w:rsidR="001B5A5A" w:rsidRPr="001B5A5A" w:rsidRDefault="001B5A5A" w:rsidP="00893A2E">
            <w:pPr>
              <w:spacing w:after="0" w:line="240" w:lineRule="auto"/>
              <w:jc w:val="right"/>
              <w:rPr>
                <w:rFonts w:eastAsia="Times New Roman" w:cs="Arial"/>
                <w:sz w:val="20"/>
                <w:szCs w:val="20"/>
              </w:rPr>
            </w:pPr>
            <w:r w:rsidRPr="001B5A5A">
              <w:rPr>
                <w:rFonts w:eastAsia="Times New Roman" w:cs="Arial"/>
                <w:sz w:val="20"/>
                <w:szCs w:val="20"/>
              </w:rPr>
              <w:t> </w:t>
            </w:r>
          </w:p>
        </w:tc>
        <w:tc>
          <w:tcPr>
            <w:tcW w:w="1134" w:type="dxa"/>
            <w:tcBorders>
              <w:top w:val="nil"/>
              <w:left w:val="nil"/>
              <w:bottom w:val="nil"/>
              <w:right w:val="nil"/>
            </w:tcBorders>
            <w:shd w:val="clear" w:color="000000" w:fill="C5D9F1"/>
            <w:noWrap/>
            <w:vAlign w:val="bottom"/>
            <w:hideMark/>
          </w:tcPr>
          <w:p w:rsidR="001B5A5A" w:rsidRPr="001B5A5A" w:rsidRDefault="001B5A5A" w:rsidP="00893A2E">
            <w:pPr>
              <w:spacing w:after="0" w:line="240" w:lineRule="auto"/>
              <w:jc w:val="right"/>
              <w:rPr>
                <w:rFonts w:eastAsia="Times New Roman" w:cs="Arial"/>
                <w:sz w:val="20"/>
                <w:szCs w:val="20"/>
              </w:rPr>
            </w:pPr>
            <w:r w:rsidRPr="001B5A5A">
              <w:rPr>
                <w:rFonts w:eastAsia="Times New Roman" w:cs="Arial"/>
                <w:sz w:val="20"/>
                <w:szCs w:val="20"/>
              </w:rPr>
              <w:t> </w:t>
            </w:r>
          </w:p>
        </w:tc>
        <w:tc>
          <w:tcPr>
            <w:tcW w:w="1134"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c>
          <w:tcPr>
            <w:tcW w:w="1200"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Дългосрочни банкови заеми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20 284</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23 844</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-15%</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14%</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Пасиви по отсрочени данъци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5 906</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5 703</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r>
      <w:tr w:rsidR="001B5A5A" w:rsidRPr="001B5A5A" w:rsidTr="00893A2E">
        <w:trPr>
          <w:trHeight w:val="300"/>
        </w:trPr>
        <w:tc>
          <w:tcPr>
            <w:tcW w:w="4820" w:type="dxa"/>
            <w:tcBorders>
              <w:top w:val="nil"/>
              <w:left w:val="nil"/>
              <w:bottom w:val="nil"/>
              <w:right w:val="nil"/>
            </w:tcBorders>
            <w:shd w:val="clear" w:color="auto" w:fill="auto"/>
            <w:noWrap/>
            <w:vAlign w:val="bottom"/>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Правителствени финансирания</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5 616</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5 866</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Дългосрочни задължения към персонала</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2 821</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2 649</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6%</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2%</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i/>
                <w:iCs/>
                <w:sz w:val="20"/>
                <w:szCs w:val="20"/>
              </w:rPr>
            </w:pPr>
          </w:p>
        </w:tc>
        <w:tc>
          <w:tcPr>
            <w:tcW w:w="1134" w:type="dxa"/>
            <w:tcBorders>
              <w:top w:val="single" w:sz="4" w:space="0" w:color="auto"/>
              <w:left w:val="nil"/>
              <w:bottom w:val="single" w:sz="4"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i/>
                <w:iCs/>
                <w:sz w:val="20"/>
                <w:szCs w:val="20"/>
              </w:rPr>
            </w:pPr>
            <w:r w:rsidRPr="001B5A5A">
              <w:rPr>
                <w:rFonts w:eastAsia="Times New Roman" w:cs="Arial"/>
                <w:b/>
                <w:bCs/>
                <w:i/>
                <w:iCs/>
                <w:sz w:val="20"/>
                <w:szCs w:val="20"/>
              </w:rPr>
              <w:t>34 627</w:t>
            </w:r>
          </w:p>
        </w:tc>
        <w:tc>
          <w:tcPr>
            <w:tcW w:w="1134" w:type="dxa"/>
            <w:tcBorders>
              <w:top w:val="single" w:sz="4" w:space="0" w:color="auto"/>
              <w:left w:val="nil"/>
              <w:bottom w:val="single" w:sz="4"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i/>
                <w:iCs/>
                <w:sz w:val="20"/>
                <w:szCs w:val="20"/>
              </w:rPr>
            </w:pPr>
            <w:r w:rsidRPr="001B5A5A">
              <w:rPr>
                <w:rFonts w:eastAsia="Times New Roman" w:cs="Arial"/>
                <w:b/>
                <w:bCs/>
                <w:i/>
                <w:iCs/>
                <w:sz w:val="20"/>
                <w:szCs w:val="20"/>
              </w:rPr>
              <w:t>38 062</w:t>
            </w:r>
          </w:p>
        </w:tc>
        <w:tc>
          <w:tcPr>
            <w:tcW w:w="1134"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-9%</w:t>
            </w:r>
          </w:p>
        </w:tc>
        <w:tc>
          <w:tcPr>
            <w:tcW w:w="1200"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23%</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sz w:val="20"/>
                <w:szCs w:val="20"/>
              </w:rPr>
            </w:pPr>
            <w:r w:rsidRPr="001B5A5A">
              <w:rPr>
                <w:rFonts w:eastAsia="Times New Roman" w:cs="Arial"/>
                <w:b/>
                <w:bCs/>
                <w:sz w:val="20"/>
                <w:szCs w:val="20"/>
              </w:rPr>
              <w:t>Текущи задължения</w:t>
            </w:r>
          </w:p>
        </w:tc>
        <w:tc>
          <w:tcPr>
            <w:tcW w:w="1134" w:type="dxa"/>
            <w:tcBorders>
              <w:top w:val="nil"/>
              <w:left w:val="nil"/>
              <w:bottom w:val="nil"/>
              <w:right w:val="nil"/>
            </w:tcBorders>
            <w:shd w:val="clear" w:color="000000" w:fill="DCE6F1"/>
            <w:noWrap/>
            <w:vAlign w:val="bottom"/>
            <w:hideMark/>
          </w:tcPr>
          <w:p w:rsidR="001B5A5A" w:rsidRPr="001B5A5A" w:rsidRDefault="001B5A5A" w:rsidP="00893A2E">
            <w:pPr>
              <w:spacing w:after="0" w:line="240" w:lineRule="auto"/>
              <w:jc w:val="right"/>
              <w:rPr>
                <w:rFonts w:eastAsia="Times New Roman" w:cs="Arial"/>
                <w:b/>
                <w:bCs/>
                <w:i/>
                <w:iCs/>
                <w:sz w:val="20"/>
                <w:szCs w:val="20"/>
              </w:rPr>
            </w:pPr>
            <w:r w:rsidRPr="001B5A5A">
              <w:rPr>
                <w:rFonts w:eastAsia="Times New Roman" w:cs="Arial"/>
                <w:b/>
                <w:bCs/>
                <w:i/>
                <w:iCs/>
                <w:sz w:val="20"/>
                <w:szCs w:val="20"/>
              </w:rPr>
              <w:t> </w:t>
            </w:r>
          </w:p>
        </w:tc>
        <w:tc>
          <w:tcPr>
            <w:tcW w:w="1134" w:type="dxa"/>
            <w:tcBorders>
              <w:top w:val="nil"/>
              <w:left w:val="nil"/>
              <w:bottom w:val="nil"/>
              <w:right w:val="nil"/>
            </w:tcBorders>
            <w:shd w:val="clear" w:color="000000" w:fill="C5D9F1"/>
            <w:noWrap/>
            <w:vAlign w:val="bottom"/>
            <w:hideMark/>
          </w:tcPr>
          <w:p w:rsidR="001B5A5A" w:rsidRPr="001B5A5A" w:rsidRDefault="001B5A5A" w:rsidP="00893A2E">
            <w:pPr>
              <w:spacing w:after="0" w:line="240" w:lineRule="auto"/>
              <w:jc w:val="right"/>
              <w:rPr>
                <w:rFonts w:eastAsia="Times New Roman" w:cs="Arial"/>
                <w:b/>
                <w:bCs/>
                <w:i/>
                <w:iCs/>
                <w:sz w:val="20"/>
                <w:szCs w:val="20"/>
              </w:rPr>
            </w:pPr>
            <w:r w:rsidRPr="001B5A5A">
              <w:rPr>
                <w:rFonts w:eastAsia="Times New Roman" w:cs="Arial"/>
                <w:b/>
                <w:bCs/>
                <w:i/>
                <w:iCs/>
                <w:sz w:val="20"/>
                <w:szCs w:val="20"/>
              </w:rPr>
              <w:t> </w:t>
            </w:r>
          </w:p>
        </w:tc>
        <w:tc>
          <w:tcPr>
            <w:tcW w:w="1134"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c>
          <w:tcPr>
            <w:tcW w:w="1200" w:type="dxa"/>
            <w:tcBorders>
              <w:top w:val="nil"/>
              <w:left w:val="nil"/>
              <w:bottom w:val="nil"/>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Краткосрочни банкови заеми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79 165</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48 291</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64%</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53%</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Краткосрочна част на дългосрочни банкови заеми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7 153</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7 185</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0%</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 xml:space="preserve">Търговски задължения </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5 498</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4 712</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17%</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Задължения към свързани предприятия</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7 463</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497</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1402%</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Задължения за данъци</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1 264</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609</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108%</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w:t>
            </w:r>
          </w:p>
        </w:tc>
      </w:tr>
      <w:tr w:rsidR="001B5A5A" w:rsidRPr="001B5A5A" w:rsidTr="00893A2E">
        <w:trPr>
          <w:trHeight w:val="525"/>
        </w:trPr>
        <w:tc>
          <w:tcPr>
            <w:tcW w:w="4820" w:type="dxa"/>
            <w:tcBorders>
              <w:top w:val="nil"/>
              <w:left w:val="nil"/>
              <w:bottom w:val="nil"/>
              <w:right w:val="nil"/>
            </w:tcBorders>
            <w:shd w:val="clear" w:color="auto" w:fill="auto"/>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Задължения към персонала и за социално осигуряване</w:t>
            </w:r>
          </w:p>
        </w:tc>
        <w:tc>
          <w:tcPr>
            <w:tcW w:w="1134" w:type="dxa"/>
            <w:tcBorders>
              <w:top w:val="nil"/>
              <w:left w:val="nil"/>
              <w:bottom w:val="nil"/>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7 028</w:t>
            </w:r>
          </w:p>
        </w:tc>
        <w:tc>
          <w:tcPr>
            <w:tcW w:w="1134" w:type="dxa"/>
            <w:tcBorders>
              <w:top w:val="nil"/>
              <w:left w:val="nil"/>
              <w:bottom w:val="nil"/>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5 363</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31%</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w:t>
            </w:r>
          </w:p>
        </w:tc>
      </w:tr>
      <w:tr w:rsidR="001B5A5A" w:rsidRPr="001B5A5A" w:rsidTr="00893A2E">
        <w:trPr>
          <w:trHeight w:val="300"/>
        </w:trPr>
        <w:tc>
          <w:tcPr>
            <w:tcW w:w="4820" w:type="dxa"/>
            <w:tcBorders>
              <w:top w:val="nil"/>
              <w:left w:val="nil"/>
              <w:bottom w:val="nil"/>
              <w:right w:val="nil"/>
            </w:tcBorders>
            <w:shd w:val="clear" w:color="auto" w:fill="auto"/>
            <w:noWrap/>
            <w:vAlign w:val="center"/>
            <w:hideMark/>
          </w:tcPr>
          <w:p w:rsidR="001B5A5A" w:rsidRPr="001B5A5A" w:rsidRDefault="001B5A5A" w:rsidP="001B5A5A">
            <w:pPr>
              <w:spacing w:after="0" w:line="240" w:lineRule="auto"/>
              <w:rPr>
                <w:rFonts w:eastAsia="Times New Roman" w:cs="Arial"/>
                <w:sz w:val="20"/>
                <w:szCs w:val="20"/>
              </w:rPr>
            </w:pPr>
            <w:r w:rsidRPr="001B5A5A">
              <w:rPr>
                <w:rFonts w:eastAsia="Times New Roman" w:cs="Arial"/>
                <w:sz w:val="20"/>
                <w:szCs w:val="20"/>
              </w:rPr>
              <w:t>Други текущи задължения</w:t>
            </w:r>
          </w:p>
        </w:tc>
        <w:tc>
          <w:tcPr>
            <w:tcW w:w="1134" w:type="dxa"/>
            <w:tcBorders>
              <w:top w:val="nil"/>
              <w:left w:val="nil"/>
              <w:bottom w:val="single" w:sz="4"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sz w:val="20"/>
                <w:szCs w:val="20"/>
              </w:rPr>
            </w:pPr>
            <w:r w:rsidRPr="001B5A5A">
              <w:rPr>
                <w:rFonts w:eastAsia="Times New Roman" w:cs="Arial"/>
                <w:sz w:val="20"/>
                <w:szCs w:val="20"/>
              </w:rPr>
              <w:t>7 538</w:t>
            </w:r>
          </w:p>
        </w:tc>
        <w:tc>
          <w:tcPr>
            <w:tcW w:w="1134" w:type="dxa"/>
            <w:tcBorders>
              <w:top w:val="nil"/>
              <w:left w:val="nil"/>
              <w:bottom w:val="single" w:sz="4"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1 514</w:t>
            </w:r>
          </w:p>
        </w:tc>
        <w:tc>
          <w:tcPr>
            <w:tcW w:w="1134"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398%</w:t>
            </w:r>
          </w:p>
        </w:tc>
        <w:tc>
          <w:tcPr>
            <w:tcW w:w="1200" w:type="dxa"/>
            <w:tcBorders>
              <w:top w:val="nil"/>
              <w:left w:val="nil"/>
              <w:bottom w:val="nil"/>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5%</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i/>
                <w:iCs/>
                <w:sz w:val="20"/>
                <w:szCs w:val="20"/>
              </w:rPr>
            </w:pPr>
          </w:p>
        </w:tc>
        <w:tc>
          <w:tcPr>
            <w:tcW w:w="1134" w:type="dxa"/>
            <w:tcBorders>
              <w:top w:val="nil"/>
              <w:left w:val="nil"/>
              <w:bottom w:val="single" w:sz="4"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i/>
                <w:iCs/>
                <w:sz w:val="20"/>
                <w:szCs w:val="20"/>
              </w:rPr>
            </w:pPr>
            <w:r w:rsidRPr="001B5A5A">
              <w:rPr>
                <w:rFonts w:eastAsia="Times New Roman" w:cs="Arial"/>
                <w:b/>
                <w:bCs/>
                <w:i/>
                <w:iCs/>
                <w:sz w:val="20"/>
                <w:szCs w:val="20"/>
              </w:rPr>
              <w:t>115 109</w:t>
            </w:r>
          </w:p>
        </w:tc>
        <w:tc>
          <w:tcPr>
            <w:tcW w:w="1134" w:type="dxa"/>
            <w:tcBorders>
              <w:top w:val="nil"/>
              <w:left w:val="nil"/>
              <w:bottom w:val="single" w:sz="4"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i/>
                <w:iCs/>
                <w:sz w:val="20"/>
                <w:szCs w:val="20"/>
              </w:rPr>
            </w:pPr>
            <w:r w:rsidRPr="001B5A5A">
              <w:rPr>
                <w:rFonts w:eastAsia="Times New Roman" w:cs="Arial"/>
                <w:b/>
                <w:bCs/>
                <w:i/>
                <w:iCs/>
                <w:sz w:val="20"/>
                <w:szCs w:val="20"/>
              </w:rPr>
              <w:t>68 171</w:t>
            </w:r>
          </w:p>
        </w:tc>
        <w:tc>
          <w:tcPr>
            <w:tcW w:w="1134"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69%</w:t>
            </w:r>
          </w:p>
        </w:tc>
        <w:tc>
          <w:tcPr>
            <w:tcW w:w="1200" w:type="dxa"/>
            <w:tcBorders>
              <w:top w:val="single" w:sz="4" w:space="0" w:color="auto"/>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77%</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i/>
                <w:iCs/>
                <w:sz w:val="20"/>
                <w:szCs w:val="20"/>
              </w:rPr>
            </w:pPr>
            <w:r w:rsidRPr="001B5A5A">
              <w:rPr>
                <w:rFonts w:eastAsia="Times New Roman" w:cs="Arial"/>
                <w:b/>
                <w:bCs/>
                <w:i/>
                <w:iCs/>
                <w:sz w:val="20"/>
                <w:szCs w:val="20"/>
              </w:rPr>
              <w:t>ОБЩО ПАСИВИ</w:t>
            </w:r>
          </w:p>
        </w:tc>
        <w:tc>
          <w:tcPr>
            <w:tcW w:w="1134" w:type="dxa"/>
            <w:tcBorders>
              <w:top w:val="nil"/>
              <w:left w:val="nil"/>
              <w:bottom w:val="single" w:sz="4"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i/>
                <w:iCs/>
                <w:sz w:val="20"/>
                <w:szCs w:val="20"/>
              </w:rPr>
            </w:pPr>
            <w:r w:rsidRPr="001B5A5A">
              <w:rPr>
                <w:rFonts w:eastAsia="Times New Roman" w:cs="Arial"/>
                <w:b/>
                <w:bCs/>
                <w:i/>
                <w:iCs/>
                <w:sz w:val="20"/>
                <w:szCs w:val="20"/>
              </w:rPr>
              <w:t>149 736</w:t>
            </w:r>
          </w:p>
        </w:tc>
        <w:tc>
          <w:tcPr>
            <w:tcW w:w="1134" w:type="dxa"/>
            <w:tcBorders>
              <w:top w:val="nil"/>
              <w:left w:val="nil"/>
              <w:bottom w:val="single" w:sz="4"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i/>
                <w:iCs/>
                <w:sz w:val="20"/>
                <w:szCs w:val="20"/>
              </w:rPr>
            </w:pPr>
            <w:r w:rsidRPr="001B5A5A">
              <w:rPr>
                <w:rFonts w:eastAsia="Times New Roman" w:cs="Arial"/>
                <w:b/>
                <w:bCs/>
                <w:i/>
                <w:iCs/>
                <w:sz w:val="20"/>
                <w:szCs w:val="20"/>
              </w:rPr>
              <w:t>106 233</w:t>
            </w:r>
          </w:p>
        </w:tc>
        <w:tc>
          <w:tcPr>
            <w:tcW w:w="1134" w:type="dxa"/>
            <w:tcBorders>
              <w:top w:val="nil"/>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41%</w:t>
            </w:r>
          </w:p>
        </w:tc>
        <w:tc>
          <w:tcPr>
            <w:tcW w:w="1200" w:type="dxa"/>
            <w:tcBorders>
              <w:top w:val="nil"/>
              <w:left w:val="nil"/>
              <w:bottom w:val="single" w:sz="4"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100%</w:t>
            </w:r>
          </w:p>
        </w:tc>
      </w:tr>
      <w:tr w:rsidR="001B5A5A" w:rsidRPr="001B5A5A" w:rsidTr="00893A2E">
        <w:trPr>
          <w:trHeight w:val="300"/>
        </w:trPr>
        <w:tc>
          <w:tcPr>
            <w:tcW w:w="4820" w:type="dxa"/>
            <w:tcBorders>
              <w:top w:val="nil"/>
              <w:left w:val="nil"/>
              <w:bottom w:val="nil"/>
              <w:right w:val="nil"/>
            </w:tcBorders>
            <w:shd w:val="clear" w:color="auto" w:fill="auto"/>
            <w:vAlign w:val="bottom"/>
            <w:hideMark/>
          </w:tcPr>
          <w:p w:rsidR="001B5A5A" w:rsidRPr="001B5A5A" w:rsidRDefault="001B5A5A" w:rsidP="001B5A5A">
            <w:pPr>
              <w:spacing w:after="0" w:line="240" w:lineRule="auto"/>
              <w:rPr>
                <w:rFonts w:eastAsia="Times New Roman" w:cs="Arial"/>
                <w:b/>
                <w:bCs/>
                <w:i/>
                <w:iCs/>
                <w:sz w:val="20"/>
                <w:szCs w:val="20"/>
              </w:rPr>
            </w:pPr>
            <w:r w:rsidRPr="001B5A5A">
              <w:rPr>
                <w:rFonts w:eastAsia="Times New Roman" w:cs="Arial"/>
                <w:b/>
                <w:bCs/>
                <w:i/>
                <w:iCs/>
                <w:sz w:val="20"/>
                <w:szCs w:val="20"/>
              </w:rPr>
              <w:t>ОБЩО СОБСТВЕН КАПИТАЛ И ПАСИВИ</w:t>
            </w:r>
          </w:p>
        </w:tc>
        <w:tc>
          <w:tcPr>
            <w:tcW w:w="1134" w:type="dxa"/>
            <w:tcBorders>
              <w:top w:val="nil"/>
              <w:left w:val="nil"/>
              <w:bottom w:val="double" w:sz="6" w:space="0" w:color="auto"/>
              <w:right w:val="nil"/>
            </w:tcBorders>
            <w:shd w:val="clear" w:color="000000" w:fill="DCE6F1"/>
            <w:noWrap/>
            <w:vAlign w:val="bottom"/>
            <w:hideMark/>
          </w:tcPr>
          <w:p w:rsidR="001B5A5A" w:rsidRPr="001B5A5A" w:rsidRDefault="001B5A5A" w:rsidP="008659B5">
            <w:pPr>
              <w:spacing w:after="0" w:line="240" w:lineRule="auto"/>
              <w:jc w:val="right"/>
              <w:rPr>
                <w:rFonts w:eastAsia="Times New Roman" w:cs="Arial"/>
                <w:b/>
                <w:bCs/>
                <w:i/>
                <w:iCs/>
                <w:sz w:val="20"/>
                <w:szCs w:val="20"/>
              </w:rPr>
            </w:pPr>
            <w:r w:rsidRPr="001B5A5A">
              <w:rPr>
                <w:rFonts w:eastAsia="Times New Roman" w:cs="Arial"/>
                <w:b/>
                <w:bCs/>
                <w:i/>
                <w:iCs/>
                <w:sz w:val="20"/>
                <w:szCs w:val="20"/>
              </w:rPr>
              <w:t>632 274</w:t>
            </w:r>
          </w:p>
        </w:tc>
        <w:tc>
          <w:tcPr>
            <w:tcW w:w="1134" w:type="dxa"/>
            <w:tcBorders>
              <w:top w:val="nil"/>
              <w:left w:val="nil"/>
              <w:bottom w:val="double" w:sz="6" w:space="0" w:color="auto"/>
              <w:right w:val="nil"/>
            </w:tcBorders>
            <w:shd w:val="clear" w:color="000000" w:fill="C5D9F1"/>
            <w:noWrap/>
            <w:vAlign w:val="bottom"/>
            <w:hideMark/>
          </w:tcPr>
          <w:p w:rsidR="001B5A5A" w:rsidRPr="001B5A5A" w:rsidRDefault="001B5A5A">
            <w:pPr>
              <w:spacing w:after="0" w:line="240" w:lineRule="auto"/>
              <w:jc w:val="right"/>
              <w:rPr>
                <w:rFonts w:eastAsia="Times New Roman" w:cs="Arial"/>
                <w:b/>
                <w:bCs/>
                <w:i/>
                <w:iCs/>
                <w:sz w:val="20"/>
                <w:szCs w:val="20"/>
              </w:rPr>
            </w:pPr>
            <w:r w:rsidRPr="001B5A5A">
              <w:rPr>
                <w:rFonts w:eastAsia="Times New Roman" w:cs="Arial"/>
                <w:b/>
                <w:bCs/>
                <w:i/>
                <w:iCs/>
                <w:sz w:val="20"/>
                <w:szCs w:val="20"/>
              </w:rPr>
              <w:t>569 108</w:t>
            </w:r>
          </w:p>
        </w:tc>
        <w:tc>
          <w:tcPr>
            <w:tcW w:w="1134" w:type="dxa"/>
            <w:tcBorders>
              <w:top w:val="nil"/>
              <w:left w:val="nil"/>
              <w:bottom w:val="double" w:sz="6" w:space="0" w:color="auto"/>
              <w:right w:val="nil"/>
            </w:tcBorders>
            <w:shd w:val="clear" w:color="auto" w:fill="auto"/>
            <w:noWrap/>
            <w:vAlign w:val="bottom"/>
            <w:hideMark/>
          </w:tcPr>
          <w:p w:rsidR="001B5A5A" w:rsidRPr="001B5A5A" w:rsidRDefault="001B5A5A">
            <w:pPr>
              <w:spacing w:after="0" w:line="240" w:lineRule="auto"/>
              <w:jc w:val="right"/>
              <w:rPr>
                <w:rFonts w:eastAsia="Times New Roman" w:cs="Arial"/>
                <w:sz w:val="20"/>
                <w:szCs w:val="20"/>
              </w:rPr>
            </w:pPr>
            <w:r w:rsidRPr="001B5A5A">
              <w:rPr>
                <w:rFonts w:eastAsia="Times New Roman" w:cs="Arial"/>
                <w:sz w:val="20"/>
                <w:szCs w:val="20"/>
              </w:rPr>
              <w:t>11%</w:t>
            </w:r>
          </w:p>
        </w:tc>
        <w:tc>
          <w:tcPr>
            <w:tcW w:w="1200" w:type="dxa"/>
            <w:tcBorders>
              <w:top w:val="nil"/>
              <w:left w:val="nil"/>
              <w:bottom w:val="double" w:sz="6" w:space="0" w:color="auto"/>
              <w:right w:val="nil"/>
            </w:tcBorders>
            <w:shd w:val="clear" w:color="auto" w:fill="auto"/>
            <w:noWrap/>
            <w:vAlign w:val="bottom"/>
            <w:hideMark/>
          </w:tcPr>
          <w:p w:rsidR="001B5A5A" w:rsidRPr="001B5A5A" w:rsidRDefault="001B5A5A" w:rsidP="00893A2E">
            <w:pPr>
              <w:spacing w:after="0" w:line="240" w:lineRule="auto"/>
              <w:jc w:val="right"/>
              <w:rPr>
                <w:rFonts w:eastAsia="Times New Roman" w:cs="Arial"/>
                <w:sz w:val="20"/>
                <w:szCs w:val="20"/>
              </w:rPr>
            </w:pPr>
            <w:r w:rsidRPr="001B5A5A">
              <w:rPr>
                <w:rFonts w:eastAsia="Times New Roman" w:cs="Arial"/>
                <w:sz w:val="20"/>
                <w:szCs w:val="20"/>
              </w:rPr>
              <w:t> </w:t>
            </w:r>
          </w:p>
        </w:tc>
      </w:tr>
    </w:tbl>
    <w:p w:rsidR="001B5A5A" w:rsidRDefault="001B5A5A" w:rsidP="00F80195">
      <w:pPr>
        <w:jc w:val="both"/>
        <w:rPr>
          <w:rFonts w:eastAsia="Calibri" w:cs="Calibri"/>
          <w:sz w:val="24"/>
          <w:szCs w:val="24"/>
        </w:rPr>
      </w:pPr>
    </w:p>
    <w:p w:rsidR="00A864FE" w:rsidRDefault="00F80195" w:rsidP="00F80195">
      <w:pPr>
        <w:spacing w:line="240" w:lineRule="auto"/>
        <w:jc w:val="both"/>
        <w:rPr>
          <w:rFonts w:eastAsia="Calibri" w:cs="Calibri"/>
          <w:i/>
          <w:sz w:val="24"/>
          <w:szCs w:val="24"/>
        </w:rPr>
      </w:pPr>
      <w:r>
        <w:rPr>
          <w:rFonts w:eastAsia="Calibri" w:cs="Calibri"/>
          <w:i/>
          <w:sz w:val="24"/>
          <w:szCs w:val="24"/>
        </w:rPr>
        <w:t>Собственият капитал</w:t>
      </w:r>
      <w:r>
        <w:rPr>
          <w:rFonts w:eastAsia="Calibri" w:cs="Calibri"/>
          <w:sz w:val="24"/>
          <w:szCs w:val="24"/>
        </w:rPr>
        <w:t xml:space="preserve"> се увеличава с </w:t>
      </w:r>
      <w:r w:rsidR="00AC5496">
        <w:rPr>
          <w:rFonts w:eastAsia="Calibri" w:cs="Calibri"/>
          <w:sz w:val="24"/>
          <w:szCs w:val="24"/>
          <w:lang w:val="ru-RU"/>
        </w:rPr>
        <w:t>19,6</w:t>
      </w:r>
      <w:r w:rsidR="00AC5496">
        <w:rPr>
          <w:rFonts w:eastAsia="Calibri" w:cs="Calibri"/>
          <w:sz w:val="24"/>
          <w:szCs w:val="24"/>
        </w:rPr>
        <w:t xml:space="preserve"> </w:t>
      </w:r>
      <w:r>
        <w:rPr>
          <w:rFonts w:eastAsia="Calibri" w:cs="Calibri"/>
          <w:sz w:val="24"/>
          <w:szCs w:val="24"/>
        </w:rPr>
        <w:t xml:space="preserve">млн. лв. или с </w:t>
      </w:r>
      <w:r w:rsidR="00AC5496">
        <w:rPr>
          <w:rFonts w:eastAsia="Calibri" w:cs="Calibri"/>
          <w:sz w:val="24"/>
          <w:szCs w:val="24"/>
        </w:rPr>
        <w:t>4</w:t>
      </w:r>
      <w:r>
        <w:rPr>
          <w:rFonts w:eastAsia="Calibri" w:cs="Calibri"/>
          <w:sz w:val="24"/>
          <w:szCs w:val="24"/>
        </w:rPr>
        <w:t xml:space="preserve">%, достигайки </w:t>
      </w:r>
      <w:r w:rsidR="00AC5496">
        <w:rPr>
          <w:rFonts w:eastAsia="Calibri" w:cs="Calibri"/>
          <w:sz w:val="24"/>
          <w:szCs w:val="24"/>
        </w:rPr>
        <w:t>482,5</w:t>
      </w:r>
      <w:r>
        <w:rPr>
          <w:rFonts w:eastAsia="Calibri" w:cs="Calibri"/>
          <w:sz w:val="24"/>
          <w:szCs w:val="24"/>
        </w:rPr>
        <w:t xml:space="preserve"> млн. лв. към </w:t>
      </w:r>
      <w:r w:rsidR="00AC5496">
        <w:rPr>
          <w:rFonts w:eastAsia="Calibri" w:cs="Calibri"/>
          <w:sz w:val="24"/>
          <w:szCs w:val="24"/>
        </w:rPr>
        <w:t>30.06</w:t>
      </w:r>
      <w:r>
        <w:rPr>
          <w:rFonts w:eastAsia="Calibri" w:cs="Calibri"/>
          <w:sz w:val="24"/>
          <w:szCs w:val="24"/>
        </w:rPr>
        <w:t xml:space="preserve">.2017 г. спрямо 462,9 млн. лв. към 31.12.2016 г., основно в резултат на увеличение  </w:t>
      </w:r>
      <w:r w:rsidR="00AC5496">
        <w:rPr>
          <w:rFonts w:eastAsia="Calibri" w:cs="Calibri"/>
          <w:sz w:val="24"/>
          <w:szCs w:val="24"/>
        </w:rPr>
        <w:t>резервите</w:t>
      </w:r>
      <w:r>
        <w:rPr>
          <w:rFonts w:eastAsia="Calibri" w:cs="Calibri"/>
          <w:sz w:val="24"/>
          <w:szCs w:val="24"/>
        </w:rPr>
        <w:t xml:space="preserve"> с </w:t>
      </w:r>
      <w:r w:rsidR="00AC5496">
        <w:rPr>
          <w:rFonts w:eastAsia="Calibri" w:cs="Calibri"/>
          <w:sz w:val="24"/>
          <w:szCs w:val="24"/>
        </w:rPr>
        <w:t xml:space="preserve">25,5 </w:t>
      </w:r>
      <w:r>
        <w:rPr>
          <w:rFonts w:eastAsia="Calibri" w:cs="Calibri"/>
          <w:sz w:val="24"/>
          <w:szCs w:val="24"/>
        </w:rPr>
        <w:t>млн. лв.</w:t>
      </w:r>
    </w:p>
    <w:p w:rsidR="00A864FE" w:rsidRDefault="00F80195" w:rsidP="00893A2E">
      <w:pPr>
        <w:spacing w:line="240" w:lineRule="auto"/>
        <w:jc w:val="both"/>
        <w:rPr>
          <w:i/>
          <w:sz w:val="24"/>
          <w:szCs w:val="24"/>
        </w:rPr>
      </w:pPr>
      <w:r>
        <w:rPr>
          <w:rFonts w:eastAsia="Calibri" w:cs="Calibri"/>
          <w:i/>
          <w:sz w:val="24"/>
          <w:szCs w:val="24"/>
        </w:rPr>
        <w:t>Нетекущите задължения</w:t>
      </w:r>
      <w:r>
        <w:rPr>
          <w:rFonts w:eastAsia="Calibri" w:cs="Calibri"/>
          <w:sz w:val="24"/>
          <w:szCs w:val="24"/>
        </w:rPr>
        <w:t xml:space="preserve"> намаляват с </w:t>
      </w:r>
      <w:r w:rsidR="00AC5496">
        <w:rPr>
          <w:rFonts w:eastAsia="Calibri" w:cs="Calibri"/>
          <w:sz w:val="24"/>
          <w:szCs w:val="24"/>
        </w:rPr>
        <w:t>3,4</w:t>
      </w:r>
      <w:r>
        <w:rPr>
          <w:rFonts w:eastAsia="Calibri" w:cs="Calibri"/>
          <w:sz w:val="24"/>
          <w:szCs w:val="24"/>
        </w:rPr>
        <w:t xml:space="preserve"> млн. лв. или </w:t>
      </w:r>
      <w:r w:rsidR="00AC5496">
        <w:rPr>
          <w:rFonts w:eastAsia="Calibri" w:cs="Calibri"/>
          <w:sz w:val="24"/>
          <w:szCs w:val="24"/>
        </w:rPr>
        <w:t>9</w:t>
      </w:r>
      <w:r>
        <w:rPr>
          <w:rFonts w:eastAsia="Calibri" w:cs="Calibri"/>
          <w:sz w:val="24"/>
          <w:szCs w:val="24"/>
        </w:rPr>
        <w:t xml:space="preserve">%, до </w:t>
      </w:r>
      <w:r w:rsidR="00AC5496">
        <w:rPr>
          <w:rFonts w:eastAsia="Calibri" w:cs="Calibri"/>
          <w:sz w:val="24"/>
          <w:szCs w:val="24"/>
        </w:rPr>
        <w:t>34,6</w:t>
      </w:r>
      <w:r>
        <w:rPr>
          <w:rFonts w:eastAsia="Calibri" w:cs="Calibri"/>
          <w:sz w:val="24"/>
          <w:szCs w:val="24"/>
        </w:rPr>
        <w:t xml:space="preserve"> млн. лв. към края на </w:t>
      </w:r>
      <w:r w:rsidR="00AC5496">
        <w:rPr>
          <w:rFonts w:eastAsia="Calibri" w:cs="Calibri"/>
          <w:sz w:val="24"/>
          <w:szCs w:val="24"/>
        </w:rPr>
        <w:t>месец юни</w:t>
      </w:r>
      <w:r>
        <w:rPr>
          <w:rFonts w:eastAsia="Calibri" w:cs="Calibri"/>
          <w:sz w:val="24"/>
          <w:szCs w:val="24"/>
        </w:rPr>
        <w:t xml:space="preserve"> 2017 г. спрямо 38 млн. лв. към края на 2016 г. основно във връзка с намаление на дългосрочните банкови заеми с </w:t>
      </w:r>
      <w:r w:rsidR="00AC5496">
        <w:rPr>
          <w:rFonts w:eastAsia="Calibri" w:cs="Calibri"/>
          <w:sz w:val="24"/>
          <w:szCs w:val="24"/>
        </w:rPr>
        <w:t>3,6</w:t>
      </w:r>
      <w:r>
        <w:rPr>
          <w:rFonts w:eastAsia="Calibri" w:cs="Calibri"/>
          <w:sz w:val="24"/>
          <w:szCs w:val="24"/>
        </w:rPr>
        <w:t xml:space="preserve"> млн. лв. </w:t>
      </w:r>
    </w:p>
    <w:p w:rsidR="00F80195" w:rsidRDefault="00F80195" w:rsidP="00893A2E">
      <w:pPr>
        <w:spacing w:line="240" w:lineRule="auto"/>
        <w:jc w:val="both"/>
        <w:rPr>
          <w:rFonts w:eastAsia="Calibri" w:cs="Calibri"/>
          <w:sz w:val="24"/>
          <w:szCs w:val="24"/>
        </w:rPr>
      </w:pPr>
      <w:r w:rsidRPr="007B005B">
        <w:rPr>
          <w:i/>
          <w:sz w:val="24"/>
          <w:szCs w:val="24"/>
        </w:rPr>
        <w:t>Текущите задължения</w:t>
      </w:r>
      <w:r w:rsidRPr="007B005B">
        <w:rPr>
          <w:sz w:val="24"/>
          <w:szCs w:val="24"/>
        </w:rPr>
        <w:t xml:space="preserve"> </w:t>
      </w:r>
      <w:r w:rsidR="00AC5496" w:rsidRPr="007B005B">
        <w:rPr>
          <w:sz w:val="24"/>
          <w:szCs w:val="24"/>
        </w:rPr>
        <w:t xml:space="preserve">се увеличаватат </w:t>
      </w:r>
      <w:r w:rsidRPr="007B005B">
        <w:rPr>
          <w:sz w:val="24"/>
          <w:szCs w:val="24"/>
        </w:rPr>
        <w:t xml:space="preserve">с </w:t>
      </w:r>
      <w:r w:rsidR="00AC5496" w:rsidRPr="007B005B">
        <w:rPr>
          <w:sz w:val="24"/>
          <w:szCs w:val="24"/>
        </w:rPr>
        <w:t>46,9</w:t>
      </w:r>
      <w:r w:rsidRPr="007B005B">
        <w:rPr>
          <w:sz w:val="24"/>
          <w:szCs w:val="24"/>
        </w:rPr>
        <w:t xml:space="preserve"> млн. лв. или </w:t>
      </w:r>
      <w:r w:rsidR="00AC5496" w:rsidRPr="007B005B">
        <w:rPr>
          <w:sz w:val="24"/>
          <w:szCs w:val="24"/>
        </w:rPr>
        <w:t>69</w:t>
      </w:r>
      <w:r w:rsidRPr="007B005B">
        <w:rPr>
          <w:sz w:val="24"/>
          <w:szCs w:val="24"/>
        </w:rPr>
        <w:t xml:space="preserve">%, до </w:t>
      </w:r>
      <w:r w:rsidR="00AC5496" w:rsidRPr="007B005B">
        <w:rPr>
          <w:sz w:val="24"/>
          <w:szCs w:val="24"/>
        </w:rPr>
        <w:t>115,1</w:t>
      </w:r>
      <w:r w:rsidRPr="007B005B">
        <w:rPr>
          <w:sz w:val="24"/>
          <w:szCs w:val="24"/>
        </w:rPr>
        <w:t xml:space="preserve"> млн. лв. към края на месец </w:t>
      </w:r>
      <w:r w:rsidR="00AC5496" w:rsidRPr="007B005B">
        <w:rPr>
          <w:sz w:val="24"/>
          <w:szCs w:val="24"/>
        </w:rPr>
        <w:t xml:space="preserve">юни </w:t>
      </w:r>
      <w:r w:rsidRPr="007B005B">
        <w:rPr>
          <w:rFonts w:eastAsia="Calibri" w:cs="Calibri"/>
          <w:sz w:val="24"/>
          <w:szCs w:val="24"/>
        </w:rPr>
        <w:t>2017</w:t>
      </w:r>
      <w:r>
        <w:rPr>
          <w:rFonts w:eastAsia="Calibri" w:cs="Calibri"/>
          <w:sz w:val="24"/>
          <w:szCs w:val="24"/>
        </w:rPr>
        <w:t xml:space="preserve"> </w:t>
      </w:r>
      <w:r>
        <w:rPr>
          <w:sz w:val="24"/>
          <w:szCs w:val="24"/>
        </w:rPr>
        <w:t xml:space="preserve"> г. спрямо 68,2 млн. лв. към края на 2016 г. Това се дължи основно на </w:t>
      </w:r>
      <w:r w:rsidR="00AC5496">
        <w:rPr>
          <w:sz w:val="24"/>
          <w:szCs w:val="24"/>
        </w:rPr>
        <w:t xml:space="preserve">увеличение </w:t>
      </w:r>
      <w:r>
        <w:rPr>
          <w:sz w:val="24"/>
          <w:szCs w:val="24"/>
        </w:rPr>
        <w:t>на краткосрочни банкови заеми</w:t>
      </w:r>
      <w:r>
        <w:rPr>
          <w:rFonts w:eastAsia="Calibri" w:cs="Calibri"/>
          <w:sz w:val="24"/>
          <w:szCs w:val="24"/>
        </w:rPr>
        <w:t xml:space="preserve"> с </w:t>
      </w:r>
      <w:r w:rsidR="00AC5496">
        <w:rPr>
          <w:sz w:val="24"/>
          <w:szCs w:val="24"/>
        </w:rPr>
        <w:t>30,9</w:t>
      </w:r>
      <w:r>
        <w:rPr>
          <w:sz w:val="24"/>
          <w:szCs w:val="24"/>
        </w:rPr>
        <w:t xml:space="preserve"> млн. лв. </w:t>
      </w:r>
      <w:r w:rsidR="00AC5496">
        <w:rPr>
          <w:sz w:val="24"/>
          <w:szCs w:val="24"/>
        </w:rPr>
        <w:t>и</w:t>
      </w:r>
      <w:r>
        <w:rPr>
          <w:sz w:val="24"/>
          <w:szCs w:val="24"/>
        </w:rPr>
        <w:t xml:space="preserve"> задължения към свързани предприятия с</w:t>
      </w:r>
      <w:r w:rsidR="00AC5496">
        <w:rPr>
          <w:sz w:val="24"/>
          <w:szCs w:val="24"/>
        </w:rPr>
        <w:t>ъс</w:t>
      </w:r>
      <w:r>
        <w:rPr>
          <w:sz w:val="24"/>
          <w:szCs w:val="24"/>
        </w:rPr>
        <w:t xml:space="preserve"> </w:t>
      </w:r>
      <w:r w:rsidR="00AC5496">
        <w:rPr>
          <w:sz w:val="24"/>
          <w:szCs w:val="24"/>
        </w:rPr>
        <w:t>7</w:t>
      </w:r>
      <w:r>
        <w:rPr>
          <w:sz w:val="24"/>
          <w:szCs w:val="24"/>
        </w:rPr>
        <w:t xml:space="preserve"> млн.</w:t>
      </w:r>
      <w:r w:rsidR="00E85A1A">
        <w:rPr>
          <w:sz w:val="24"/>
          <w:szCs w:val="24"/>
        </w:rPr>
        <w:t xml:space="preserve"> </w:t>
      </w:r>
      <w:r>
        <w:rPr>
          <w:sz w:val="24"/>
          <w:szCs w:val="24"/>
        </w:rPr>
        <w:t xml:space="preserve">лв. </w:t>
      </w:r>
      <w:r w:rsidR="00AC5496">
        <w:rPr>
          <w:sz w:val="24"/>
          <w:szCs w:val="24"/>
        </w:rPr>
        <w:t xml:space="preserve">Увеличават се </w:t>
      </w:r>
      <w:r>
        <w:rPr>
          <w:sz w:val="24"/>
          <w:szCs w:val="24"/>
        </w:rPr>
        <w:t xml:space="preserve">търговски задължения с </w:t>
      </w:r>
      <w:r w:rsidR="00AC5496">
        <w:rPr>
          <w:sz w:val="24"/>
          <w:szCs w:val="24"/>
        </w:rPr>
        <w:t>0,7</w:t>
      </w:r>
      <w:r>
        <w:rPr>
          <w:sz w:val="24"/>
          <w:szCs w:val="24"/>
        </w:rPr>
        <w:t xml:space="preserve"> млн. лв., </w:t>
      </w:r>
      <w:r>
        <w:rPr>
          <w:rFonts w:eastAsia="Calibri" w:cs="Calibri"/>
          <w:sz w:val="24"/>
          <w:szCs w:val="24"/>
        </w:rPr>
        <w:t xml:space="preserve">задължения към персонала и за социално осигуряване с </w:t>
      </w:r>
      <w:r w:rsidR="00AC5496">
        <w:rPr>
          <w:rFonts w:eastAsia="Calibri" w:cs="Calibri"/>
          <w:sz w:val="24"/>
          <w:szCs w:val="24"/>
        </w:rPr>
        <w:t>1,7</w:t>
      </w:r>
      <w:r w:rsidR="0005770E">
        <w:rPr>
          <w:rFonts w:eastAsia="Calibri" w:cs="Calibri"/>
          <w:sz w:val="24"/>
          <w:szCs w:val="24"/>
        </w:rPr>
        <w:t xml:space="preserve"> </w:t>
      </w:r>
      <w:r>
        <w:rPr>
          <w:rFonts w:eastAsia="Calibri" w:cs="Calibri"/>
          <w:sz w:val="24"/>
          <w:szCs w:val="24"/>
        </w:rPr>
        <w:t>млн. лв.</w:t>
      </w:r>
      <w:r w:rsidR="008B1BC1">
        <w:rPr>
          <w:rFonts w:eastAsia="Calibri" w:cs="Calibri"/>
          <w:sz w:val="24"/>
          <w:szCs w:val="24"/>
        </w:rPr>
        <w:t>, както</w:t>
      </w:r>
      <w:r>
        <w:rPr>
          <w:rFonts w:eastAsia="Calibri" w:cs="Calibri"/>
          <w:sz w:val="24"/>
          <w:szCs w:val="24"/>
        </w:rPr>
        <w:t xml:space="preserve"> и </w:t>
      </w:r>
      <w:r w:rsidR="00AC5496">
        <w:rPr>
          <w:rFonts w:eastAsia="Calibri" w:cs="Calibri"/>
          <w:sz w:val="24"/>
          <w:szCs w:val="24"/>
        </w:rPr>
        <w:t>други текущи задължения</w:t>
      </w:r>
      <w:r>
        <w:rPr>
          <w:rFonts w:eastAsia="Calibri" w:cs="Calibri"/>
          <w:sz w:val="24"/>
          <w:szCs w:val="24"/>
        </w:rPr>
        <w:t xml:space="preserve"> с </w:t>
      </w:r>
      <w:r w:rsidR="00AC5496">
        <w:rPr>
          <w:rFonts w:eastAsia="Calibri" w:cs="Calibri"/>
          <w:sz w:val="24"/>
          <w:szCs w:val="24"/>
        </w:rPr>
        <w:t>6</w:t>
      </w:r>
      <w:r>
        <w:rPr>
          <w:rFonts w:eastAsia="Calibri" w:cs="Calibri"/>
          <w:sz w:val="24"/>
          <w:szCs w:val="24"/>
        </w:rPr>
        <w:t xml:space="preserve"> млн. лв.</w:t>
      </w:r>
      <w:r w:rsidR="008B1BC1">
        <w:rPr>
          <w:rFonts w:eastAsia="Calibri" w:cs="Calibri"/>
          <w:sz w:val="24"/>
          <w:szCs w:val="24"/>
        </w:rPr>
        <w:t>, което е поради задължението за изплащане на дивиденти.</w:t>
      </w:r>
    </w:p>
    <w:p w:rsidR="00B1031E" w:rsidRDefault="00F80195" w:rsidP="00E85A1A">
      <w:pPr>
        <w:suppressAutoHyphens/>
        <w:autoSpaceDN w:val="0"/>
        <w:spacing w:before="40" w:after="40" w:line="240" w:lineRule="auto"/>
        <w:jc w:val="both"/>
        <w:textAlignment w:val="baseline"/>
        <w:rPr>
          <w:rFonts w:asciiTheme="minorHAnsi" w:eastAsiaTheme="minorEastAsia" w:hAnsiTheme="minorHAnsi"/>
          <w:sz w:val="24"/>
          <w:szCs w:val="24"/>
        </w:rPr>
      </w:pPr>
      <w:r>
        <w:rPr>
          <w:rFonts w:eastAsia="Calibri" w:cs="Calibri"/>
          <w:sz w:val="24"/>
          <w:szCs w:val="24"/>
        </w:rPr>
        <w:t xml:space="preserve">Общо експозицията по банкови заеми на дружеството към </w:t>
      </w:r>
      <w:r w:rsidR="00AC5496">
        <w:rPr>
          <w:rFonts w:eastAsia="Calibri" w:cs="Calibri"/>
          <w:sz w:val="24"/>
          <w:szCs w:val="24"/>
        </w:rPr>
        <w:t>30.06</w:t>
      </w:r>
      <w:r>
        <w:rPr>
          <w:rFonts w:eastAsia="Calibri" w:cs="Calibri"/>
          <w:sz w:val="24"/>
          <w:szCs w:val="24"/>
        </w:rPr>
        <w:t xml:space="preserve">.2017 г.  </w:t>
      </w:r>
      <w:r w:rsidR="00AC5496">
        <w:rPr>
          <w:rFonts w:eastAsia="Calibri" w:cs="Calibri"/>
          <w:sz w:val="24"/>
          <w:szCs w:val="24"/>
        </w:rPr>
        <w:t xml:space="preserve">се увеличава </w:t>
      </w:r>
      <w:r>
        <w:rPr>
          <w:rFonts w:eastAsia="Calibri" w:cs="Calibri"/>
          <w:sz w:val="24"/>
          <w:szCs w:val="24"/>
        </w:rPr>
        <w:t xml:space="preserve">с  </w:t>
      </w:r>
      <w:r w:rsidR="00AC5496">
        <w:rPr>
          <w:rFonts w:eastAsia="Calibri" w:cs="Calibri"/>
          <w:sz w:val="24"/>
          <w:szCs w:val="24"/>
        </w:rPr>
        <w:t>27</w:t>
      </w:r>
      <w:r>
        <w:rPr>
          <w:rFonts w:eastAsia="Calibri" w:cs="Calibri"/>
          <w:sz w:val="24"/>
          <w:szCs w:val="24"/>
        </w:rPr>
        <w:t xml:space="preserve"> млн. лв. спрямо 31.12.2016 г.</w:t>
      </w:r>
      <w:r w:rsidR="00A864FE">
        <w:rPr>
          <w:rFonts w:eastAsia="Calibri" w:cs="Calibri"/>
          <w:sz w:val="24"/>
          <w:szCs w:val="24"/>
        </w:rPr>
        <w:t xml:space="preserve"> </w:t>
      </w:r>
    </w:p>
    <w:p w:rsidR="008B0843" w:rsidRDefault="008B0843" w:rsidP="003F490B">
      <w:pPr>
        <w:suppressAutoHyphens/>
        <w:autoSpaceDN w:val="0"/>
        <w:spacing w:before="40" w:after="40" w:line="240" w:lineRule="auto"/>
        <w:jc w:val="both"/>
        <w:textAlignment w:val="baseline"/>
        <w:rPr>
          <w:rFonts w:eastAsia="Calibri" w:cs="Calibri"/>
          <w:i/>
          <w:color w:val="1F497D"/>
          <w:sz w:val="24"/>
          <w:szCs w:val="24"/>
          <w:lang w:val="en-US" w:eastAsia="en-US"/>
        </w:rPr>
      </w:pPr>
    </w:p>
    <w:p w:rsidR="003F490B" w:rsidRPr="001B413B" w:rsidRDefault="003F490B" w:rsidP="003F490B">
      <w:pPr>
        <w:suppressAutoHyphens/>
        <w:autoSpaceDN w:val="0"/>
        <w:spacing w:before="40" w:after="40" w:line="240" w:lineRule="auto"/>
        <w:jc w:val="both"/>
        <w:textAlignment w:val="baseline"/>
        <w:rPr>
          <w:rFonts w:eastAsia="Calibri" w:cs="Calibri"/>
          <w:i/>
          <w:color w:val="1F497D"/>
          <w:sz w:val="24"/>
          <w:szCs w:val="24"/>
          <w:lang w:eastAsia="en-US"/>
        </w:rPr>
      </w:pPr>
      <w:r w:rsidRPr="001B413B">
        <w:rPr>
          <w:rFonts w:eastAsia="Calibri" w:cs="Calibri"/>
          <w:i/>
          <w:color w:val="1F497D"/>
          <w:sz w:val="24"/>
          <w:szCs w:val="24"/>
          <w:lang w:eastAsia="en-US"/>
        </w:rPr>
        <w:lastRenderedPageBreak/>
        <w:t>Парични потоци</w:t>
      </w:r>
    </w:p>
    <w:tbl>
      <w:tblPr>
        <w:tblW w:w="9359" w:type="dxa"/>
        <w:tblInd w:w="55" w:type="dxa"/>
        <w:tblCellMar>
          <w:left w:w="70" w:type="dxa"/>
          <w:right w:w="70" w:type="dxa"/>
        </w:tblCellMar>
        <w:tblLook w:val="04A0" w:firstRow="1" w:lastRow="0" w:firstColumn="1" w:lastColumn="0" w:noHBand="0" w:noVBand="1"/>
      </w:tblPr>
      <w:tblGrid>
        <w:gridCol w:w="7134"/>
        <w:gridCol w:w="1103"/>
        <w:gridCol w:w="1122"/>
      </w:tblGrid>
      <w:tr w:rsidR="003F490B" w:rsidRPr="00B51B7E" w:rsidTr="00E85A1A">
        <w:trPr>
          <w:trHeight w:val="287"/>
        </w:trPr>
        <w:tc>
          <w:tcPr>
            <w:tcW w:w="7134" w:type="dxa"/>
            <w:vAlign w:val="bottom"/>
            <w:hideMark/>
          </w:tcPr>
          <w:p w:rsidR="003F490B" w:rsidRPr="00B51B7E" w:rsidRDefault="003F490B" w:rsidP="007066DB">
            <w:pPr>
              <w:spacing w:after="0" w:line="240" w:lineRule="auto"/>
              <w:rPr>
                <w:sz w:val="20"/>
                <w:szCs w:val="20"/>
                <w:lang w:val="en-US" w:eastAsia="en-US"/>
              </w:rPr>
            </w:pPr>
          </w:p>
        </w:tc>
        <w:tc>
          <w:tcPr>
            <w:tcW w:w="1103" w:type="dxa"/>
            <w:shd w:val="clear" w:color="auto" w:fill="DCE6F1"/>
            <w:noWrap/>
            <w:vAlign w:val="bottom"/>
            <w:hideMark/>
          </w:tcPr>
          <w:p w:rsidR="003F490B" w:rsidRPr="007B205E" w:rsidRDefault="003F490B" w:rsidP="007066DB">
            <w:pPr>
              <w:spacing w:after="0" w:line="240" w:lineRule="auto"/>
              <w:jc w:val="right"/>
              <w:rPr>
                <w:rFonts w:eastAsia="Times New Roman" w:cs="Calibri"/>
                <w:b/>
                <w:bCs/>
                <w:iCs/>
                <w:sz w:val="20"/>
                <w:szCs w:val="20"/>
                <w:lang w:val="en-US"/>
              </w:rPr>
            </w:pPr>
            <w:r w:rsidRPr="00B51B7E">
              <w:rPr>
                <w:rFonts w:eastAsia="Times New Roman" w:cs="Calibri"/>
                <w:b/>
                <w:bCs/>
                <w:iCs/>
                <w:sz w:val="20"/>
                <w:szCs w:val="20"/>
              </w:rPr>
              <w:t> </w:t>
            </w:r>
            <w:r w:rsidR="00E85A1A">
              <w:rPr>
                <w:rFonts w:eastAsia="Times New Roman" w:cs="Calibri"/>
                <w:b/>
                <w:bCs/>
                <w:iCs/>
                <w:sz w:val="20"/>
                <w:szCs w:val="20"/>
              </w:rPr>
              <w:t>1-</w:t>
            </w:r>
            <w:r w:rsidR="006A3424">
              <w:rPr>
                <w:rFonts w:eastAsia="Times New Roman" w:cs="Calibri"/>
                <w:b/>
                <w:bCs/>
                <w:iCs/>
                <w:sz w:val="20"/>
                <w:szCs w:val="20"/>
              </w:rPr>
              <w:t>6</w:t>
            </w:r>
            <w:r w:rsidR="00E85A1A">
              <w:rPr>
                <w:rFonts w:eastAsia="Times New Roman" w:cs="Calibri"/>
                <w:b/>
                <w:bCs/>
                <w:iCs/>
                <w:sz w:val="20"/>
                <w:szCs w:val="20"/>
              </w:rPr>
              <w:t>/</w:t>
            </w:r>
            <w:r w:rsidRPr="00B51B7E">
              <w:rPr>
                <w:rFonts w:eastAsia="Times New Roman" w:cs="Calibri"/>
                <w:b/>
                <w:bCs/>
                <w:iCs/>
                <w:sz w:val="20"/>
                <w:szCs w:val="20"/>
              </w:rPr>
              <w:t>201</w:t>
            </w:r>
            <w:r w:rsidR="00DA19BF">
              <w:rPr>
                <w:rFonts w:eastAsia="Times New Roman" w:cs="Calibri"/>
                <w:b/>
                <w:bCs/>
                <w:iCs/>
                <w:sz w:val="20"/>
                <w:szCs w:val="20"/>
                <w:lang w:val="en-US"/>
              </w:rPr>
              <w:t>7</w:t>
            </w:r>
          </w:p>
          <w:p w:rsidR="003F490B" w:rsidRPr="00B51B7E" w:rsidRDefault="003F490B" w:rsidP="007066DB">
            <w:pPr>
              <w:spacing w:after="0" w:line="240" w:lineRule="auto"/>
              <w:jc w:val="right"/>
              <w:rPr>
                <w:rFonts w:eastAsia="Times New Roman" w:cs="Calibri"/>
                <w:b/>
                <w:bCs/>
                <w:iCs/>
                <w:sz w:val="20"/>
                <w:szCs w:val="20"/>
              </w:rPr>
            </w:pPr>
            <w:r w:rsidRPr="00B51B7E">
              <w:rPr>
                <w:rFonts w:eastAsia="Times New Roman" w:cs="Calibri"/>
                <w:b/>
                <w:bCs/>
                <w:iCs/>
                <w:sz w:val="20"/>
                <w:szCs w:val="20"/>
              </w:rPr>
              <w:t>BGN '000</w:t>
            </w:r>
          </w:p>
        </w:tc>
        <w:tc>
          <w:tcPr>
            <w:tcW w:w="1122" w:type="dxa"/>
            <w:shd w:val="clear" w:color="auto" w:fill="C5D9F1"/>
            <w:noWrap/>
            <w:vAlign w:val="bottom"/>
            <w:hideMark/>
          </w:tcPr>
          <w:p w:rsidR="003F490B" w:rsidRPr="007B205E" w:rsidRDefault="003F490B" w:rsidP="007066DB">
            <w:pPr>
              <w:spacing w:after="0" w:line="240" w:lineRule="auto"/>
              <w:jc w:val="right"/>
              <w:rPr>
                <w:rFonts w:eastAsia="Times New Roman" w:cs="Calibri"/>
                <w:b/>
                <w:bCs/>
                <w:iCs/>
                <w:sz w:val="20"/>
                <w:szCs w:val="20"/>
                <w:lang w:val="en-US"/>
              </w:rPr>
            </w:pPr>
            <w:r w:rsidRPr="00B51B7E">
              <w:rPr>
                <w:rFonts w:eastAsia="Times New Roman" w:cs="Calibri"/>
                <w:b/>
                <w:bCs/>
                <w:iCs/>
                <w:sz w:val="20"/>
                <w:szCs w:val="20"/>
              </w:rPr>
              <w:t> </w:t>
            </w:r>
            <w:r w:rsidR="00E85A1A">
              <w:rPr>
                <w:rFonts w:eastAsia="Times New Roman" w:cs="Calibri"/>
                <w:b/>
                <w:bCs/>
                <w:iCs/>
                <w:sz w:val="20"/>
                <w:szCs w:val="20"/>
              </w:rPr>
              <w:t>1-</w:t>
            </w:r>
            <w:r w:rsidR="006A3424">
              <w:rPr>
                <w:rFonts w:eastAsia="Times New Roman" w:cs="Calibri"/>
                <w:b/>
                <w:bCs/>
                <w:iCs/>
                <w:sz w:val="20"/>
                <w:szCs w:val="20"/>
              </w:rPr>
              <w:t>6</w:t>
            </w:r>
            <w:r w:rsidR="00E85A1A">
              <w:rPr>
                <w:rFonts w:eastAsia="Times New Roman" w:cs="Calibri"/>
                <w:b/>
                <w:bCs/>
                <w:iCs/>
                <w:sz w:val="20"/>
                <w:szCs w:val="20"/>
              </w:rPr>
              <w:t>/</w:t>
            </w:r>
            <w:r w:rsidRPr="00B51B7E">
              <w:rPr>
                <w:rFonts w:eastAsia="Times New Roman" w:cs="Calibri"/>
                <w:b/>
                <w:bCs/>
                <w:iCs/>
                <w:sz w:val="20"/>
                <w:szCs w:val="20"/>
              </w:rPr>
              <w:t>201</w:t>
            </w:r>
            <w:r w:rsidR="00DA19BF">
              <w:rPr>
                <w:rFonts w:eastAsia="Times New Roman" w:cs="Calibri"/>
                <w:b/>
                <w:bCs/>
                <w:iCs/>
                <w:sz w:val="20"/>
                <w:szCs w:val="20"/>
                <w:lang w:val="en-US"/>
              </w:rPr>
              <w:t>6</w:t>
            </w:r>
          </w:p>
          <w:p w:rsidR="003F490B" w:rsidRPr="00B51B7E" w:rsidRDefault="003F490B" w:rsidP="007066DB">
            <w:pPr>
              <w:spacing w:after="0" w:line="240" w:lineRule="auto"/>
              <w:jc w:val="right"/>
              <w:rPr>
                <w:rFonts w:eastAsia="Times New Roman" w:cs="Calibri"/>
                <w:b/>
                <w:bCs/>
                <w:iCs/>
                <w:sz w:val="20"/>
                <w:szCs w:val="20"/>
              </w:rPr>
            </w:pPr>
            <w:r w:rsidRPr="00B51B7E">
              <w:rPr>
                <w:rFonts w:eastAsia="Times New Roman" w:cs="Calibri"/>
                <w:b/>
                <w:bCs/>
                <w:iCs/>
                <w:sz w:val="20"/>
                <w:szCs w:val="20"/>
              </w:rPr>
              <w:t>BGN '000</w:t>
            </w:r>
          </w:p>
        </w:tc>
      </w:tr>
      <w:tr w:rsidR="003F490B" w:rsidRPr="00B51B7E" w:rsidTr="00E85A1A">
        <w:trPr>
          <w:trHeight w:val="287"/>
        </w:trPr>
        <w:tc>
          <w:tcPr>
            <w:tcW w:w="7134" w:type="dxa"/>
            <w:vAlign w:val="center"/>
            <w:hideMark/>
          </w:tcPr>
          <w:p w:rsidR="003F490B" w:rsidRPr="00B51B7E" w:rsidRDefault="003F490B" w:rsidP="007066DB">
            <w:pPr>
              <w:spacing w:after="0" w:line="240" w:lineRule="auto"/>
              <w:rPr>
                <w:rFonts w:eastAsia="Times New Roman" w:cs="Calibri"/>
                <w:sz w:val="20"/>
                <w:szCs w:val="20"/>
              </w:rPr>
            </w:pPr>
            <w:r w:rsidRPr="00B51B7E">
              <w:rPr>
                <w:rFonts w:eastAsia="Times New Roman" w:cs="Calibri"/>
                <w:sz w:val="20"/>
                <w:szCs w:val="20"/>
              </w:rPr>
              <w:t>Нетни парични потоци от/</w:t>
            </w:r>
            <w:r w:rsidRPr="00B51B7E">
              <w:rPr>
                <w:rFonts w:eastAsia="Times New Roman" w:cs="Calibri"/>
                <w:sz w:val="20"/>
                <w:szCs w:val="20"/>
                <w:lang w:val="en-US"/>
              </w:rPr>
              <w:t>(</w:t>
            </w:r>
            <w:r w:rsidRPr="00B51B7E">
              <w:rPr>
                <w:rFonts w:eastAsia="Times New Roman" w:cs="Calibri"/>
                <w:sz w:val="20"/>
                <w:szCs w:val="20"/>
              </w:rPr>
              <w:t>използвани в</w:t>
            </w:r>
            <w:r w:rsidRPr="00B51B7E">
              <w:rPr>
                <w:rFonts w:eastAsia="Times New Roman" w:cs="Calibri"/>
                <w:sz w:val="20"/>
                <w:szCs w:val="20"/>
                <w:lang w:val="en-US"/>
              </w:rPr>
              <w:t>)</w:t>
            </w:r>
            <w:r w:rsidRPr="00B51B7E">
              <w:rPr>
                <w:rFonts w:eastAsia="Times New Roman" w:cs="Calibri"/>
                <w:sz w:val="20"/>
                <w:szCs w:val="20"/>
              </w:rPr>
              <w:t xml:space="preserve"> оперативна дейност</w:t>
            </w:r>
          </w:p>
        </w:tc>
        <w:tc>
          <w:tcPr>
            <w:tcW w:w="1103" w:type="dxa"/>
            <w:shd w:val="clear" w:color="auto" w:fill="DCE6F1"/>
            <w:noWrap/>
            <w:vAlign w:val="bottom"/>
            <w:hideMark/>
          </w:tcPr>
          <w:p w:rsidR="003F490B" w:rsidRPr="00B51B7E" w:rsidRDefault="006A3424" w:rsidP="007066DB">
            <w:pPr>
              <w:spacing w:after="0" w:line="240" w:lineRule="auto"/>
              <w:jc w:val="right"/>
              <w:rPr>
                <w:rFonts w:eastAsia="Times New Roman" w:cs="Calibri"/>
                <w:sz w:val="20"/>
                <w:szCs w:val="20"/>
                <w:lang w:val="en-US"/>
              </w:rPr>
            </w:pPr>
            <w:r w:rsidRPr="006A3424">
              <w:rPr>
                <w:rFonts w:eastAsia="Times New Roman" w:cs="Calibri"/>
                <w:sz w:val="20"/>
                <w:szCs w:val="20"/>
              </w:rPr>
              <w:t>11 449</w:t>
            </w:r>
          </w:p>
        </w:tc>
        <w:tc>
          <w:tcPr>
            <w:tcW w:w="1122" w:type="dxa"/>
            <w:shd w:val="clear" w:color="auto" w:fill="C5D9F1"/>
            <w:noWrap/>
            <w:vAlign w:val="bottom"/>
            <w:hideMark/>
          </w:tcPr>
          <w:p w:rsidR="003F490B" w:rsidRPr="00B51B7E" w:rsidRDefault="006A3424" w:rsidP="007066DB">
            <w:pPr>
              <w:spacing w:after="0" w:line="240" w:lineRule="auto"/>
              <w:jc w:val="right"/>
              <w:rPr>
                <w:rFonts w:eastAsia="Times New Roman" w:cs="Calibri"/>
                <w:sz w:val="20"/>
                <w:szCs w:val="20"/>
              </w:rPr>
            </w:pPr>
            <w:r w:rsidRPr="006A3424">
              <w:rPr>
                <w:rFonts w:eastAsia="Times New Roman" w:cs="Calibri"/>
                <w:sz w:val="20"/>
                <w:szCs w:val="20"/>
              </w:rPr>
              <w:t>10 798</w:t>
            </w:r>
          </w:p>
        </w:tc>
      </w:tr>
      <w:tr w:rsidR="003F490B" w:rsidRPr="00B51B7E" w:rsidTr="00E85A1A">
        <w:trPr>
          <w:trHeight w:val="287"/>
        </w:trPr>
        <w:tc>
          <w:tcPr>
            <w:tcW w:w="7134" w:type="dxa"/>
            <w:vAlign w:val="bottom"/>
            <w:hideMark/>
          </w:tcPr>
          <w:p w:rsidR="003F490B" w:rsidRPr="00B51B7E" w:rsidRDefault="003F490B" w:rsidP="007066DB">
            <w:pPr>
              <w:spacing w:after="0" w:line="240" w:lineRule="auto"/>
              <w:rPr>
                <w:rFonts w:eastAsia="Times New Roman" w:cs="Calibri"/>
                <w:sz w:val="20"/>
                <w:szCs w:val="20"/>
              </w:rPr>
            </w:pPr>
            <w:r w:rsidRPr="00B51B7E">
              <w:rPr>
                <w:rFonts w:eastAsia="Times New Roman" w:cs="Calibri"/>
                <w:sz w:val="20"/>
                <w:szCs w:val="20"/>
              </w:rPr>
              <w:t>Нетни парични потоци</w:t>
            </w:r>
            <w:r w:rsidR="00530456">
              <w:rPr>
                <w:rFonts w:eastAsia="Times New Roman" w:cs="Calibri"/>
                <w:sz w:val="20"/>
                <w:szCs w:val="20"/>
                <w:lang w:val="en-US"/>
              </w:rPr>
              <w:t xml:space="preserve"> </w:t>
            </w:r>
            <w:r w:rsidR="00530456">
              <w:rPr>
                <w:rFonts w:eastAsia="Times New Roman" w:cs="Calibri"/>
                <w:sz w:val="20"/>
                <w:szCs w:val="20"/>
              </w:rPr>
              <w:t>от/</w:t>
            </w:r>
            <w:r w:rsidRPr="00B51B7E">
              <w:rPr>
                <w:rFonts w:eastAsia="Times New Roman" w:cs="Calibri"/>
                <w:sz w:val="20"/>
                <w:szCs w:val="20"/>
              </w:rPr>
              <w:t xml:space="preserve"> </w:t>
            </w:r>
            <w:r w:rsidR="00530456">
              <w:rPr>
                <w:rFonts w:eastAsia="Times New Roman" w:cs="Calibri"/>
                <w:sz w:val="20"/>
                <w:szCs w:val="20"/>
              </w:rPr>
              <w:t>(</w:t>
            </w:r>
            <w:r w:rsidRPr="00B51B7E">
              <w:rPr>
                <w:rFonts w:eastAsia="Times New Roman" w:cs="Calibri"/>
                <w:sz w:val="20"/>
                <w:szCs w:val="20"/>
              </w:rPr>
              <w:t>използвани в</w:t>
            </w:r>
            <w:r w:rsidR="00530456">
              <w:rPr>
                <w:rFonts w:eastAsia="Times New Roman" w:cs="Calibri"/>
                <w:sz w:val="20"/>
                <w:szCs w:val="20"/>
              </w:rPr>
              <w:t>)</w:t>
            </w:r>
            <w:r w:rsidRPr="00B51B7E">
              <w:rPr>
                <w:rFonts w:eastAsia="Times New Roman" w:cs="Calibri"/>
                <w:sz w:val="20"/>
                <w:szCs w:val="20"/>
              </w:rPr>
              <w:t xml:space="preserve"> инвестиционна дейност</w:t>
            </w:r>
          </w:p>
        </w:tc>
        <w:tc>
          <w:tcPr>
            <w:tcW w:w="1103" w:type="dxa"/>
            <w:shd w:val="clear" w:color="auto" w:fill="DCE6F1"/>
            <w:noWrap/>
            <w:vAlign w:val="bottom"/>
            <w:hideMark/>
          </w:tcPr>
          <w:p w:rsidR="003F490B" w:rsidRPr="00B51B7E" w:rsidRDefault="006A3424" w:rsidP="00136A92">
            <w:pPr>
              <w:spacing w:after="0" w:line="240" w:lineRule="auto"/>
              <w:jc w:val="right"/>
              <w:rPr>
                <w:rFonts w:eastAsia="Times New Roman" w:cs="Calibri"/>
                <w:sz w:val="20"/>
                <w:szCs w:val="20"/>
              </w:rPr>
            </w:pPr>
            <w:r w:rsidRPr="006A3424">
              <w:rPr>
                <w:rFonts w:eastAsia="Times New Roman" w:cs="Calibri"/>
                <w:sz w:val="20"/>
                <w:szCs w:val="20"/>
              </w:rPr>
              <w:t>(42 045)</w:t>
            </w:r>
          </w:p>
        </w:tc>
        <w:tc>
          <w:tcPr>
            <w:tcW w:w="1122" w:type="dxa"/>
            <w:shd w:val="clear" w:color="auto" w:fill="C5D9F1"/>
            <w:noWrap/>
            <w:vAlign w:val="bottom"/>
            <w:hideMark/>
          </w:tcPr>
          <w:p w:rsidR="003F490B" w:rsidRPr="00B51B7E" w:rsidRDefault="006A3424" w:rsidP="007066DB">
            <w:pPr>
              <w:spacing w:after="0" w:line="240" w:lineRule="auto"/>
              <w:jc w:val="right"/>
              <w:rPr>
                <w:rFonts w:eastAsia="Times New Roman" w:cs="Calibri"/>
                <w:sz w:val="20"/>
                <w:szCs w:val="20"/>
              </w:rPr>
            </w:pPr>
            <w:r w:rsidRPr="006A3424">
              <w:rPr>
                <w:rFonts w:eastAsia="Times New Roman" w:cs="Calibri"/>
                <w:sz w:val="20"/>
                <w:szCs w:val="20"/>
              </w:rPr>
              <w:t>8 499</w:t>
            </w:r>
          </w:p>
        </w:tc>
      </w:tr>
      <w:tr w:rsidR="003F490B" w:rsidRPr="00B51B7E" w:rsidTr="00E85A1A">
        <w:trPr>
          <w:trHeight w:val="287"/>
        </w:trPr>
        <w:tc>
          <w:tcPr>
            <w:tcW w:w="7134" w:type="dxa"/>
            <w:tcBorders>
              <w:top w:val="nil"/>
              <w:left w:val="nil"/>
              <w:bottom w:val="single" w:sz="4" w:space="0" w:color="auto"/>
              <w:right w:val="nil"/>
            </w:tcBorders>
            <w:vAlign w:val="bottom"/>
            <w:hideMark/>
          </w:tcPr>
          <w:p w:rsidR="003F490B" w:rsidRPr="00B51B7E" w:rsidRDefault="003F490B" w:rsidP="007066DB">
            <w:pPr>
              <w:spacing w:after="0" w:line="240" w:lineRule="auto"/>
              <w:rPr>
                <w:rFonts w:eastAsia="Times New Roman" w:cs="Calibri"/>
                <w:sz w:val="20"/>
                <w:szCs w:val="20"/>
              </w:rPr>
            </w:pPr>
            <w:r w:rsidRPr="00B51B7E">
              <w:rPr>
                <w:rFonts w:eastAsia="Times New Roman" w:cs="Calibri"/>
                <w:sz w:val="20"/>
                <w:szCs w:val="20"/>
              </w:rPr>
              <w:t xml:space="preserve">Нетни парични потоци </w:t>
            </w:r>
            <w:r w:rsidRPr="00B51B7E">
              <w:rPr>
                <w:rFonts w:eastAsia="Times New Roman" w:cs="Calibri"/>
                <w:sz w:val="20"/>
                <w:szCs w:val="20"/>
                <w:lang w:val="en-US"/>
              </w:rPr>
              <w:t>(</w:t>
            </w:r>
            <w:r w:rsidRPr="00B51B7E">
              <w:rPr>
                <w:rFonts w:eastAsia="Times New Roman" w:cs="Calibri"/>
                <w:sz w:val="20"/>
                <w:szCs w:val="20"/>
              </w:rPr>
              <w:t>използвани във</w:t>
            </w:r>
            <w:r w:rsidRPr="00B51B7E">
              <w:rPr>
                <w:rFonts w:eastAsia="Times New Roman" w:cs="Calibri"/>
                <w:sz w:val="20"/>
                <w:szCs w:val="20"/>
                <w:lang w:val="en-US"/>
              </w:rPr>
              <w:t>)</w:t>
            </w:r>
            <w:r w:rsidRPr="00B51B7E">
              <w:rPr>
                <w:rFonts w:eastAsia="Times New Roman" w:cs="Calibri"/>
                <w:sz w:val="20"/>
                <w:szCs w:val="20"/>
              </w:rPr>
              <w:t>/от финансова дейност</w:t>
            </w:r>
          </w:p>
        </w:tc>
        <w:tc>
          <w:tcPr>
            <w:tcW w:w="1103" w:type="dxa"/>
            <w:shd w:val="clear" w:color="auto" w:fill="DCE6F1"/>
            <w:noWrap/>
            <w:vAlign w:val="bottom"/>
            <w:hideMark/>
          </w:tcPr>
          <w:p w:rsidR="003F490B" w:rsidRPr="00B51B7E" w:rsidRDefault="006A3424" w:rsidP="00136A92">
            <w:pPr>
              <w:spacing w:after="0" w:line="240" w:lineRule="auto"/>
              <w:jc w:val="right"/>
              <w:rPr>
                <w:rFonts w:eastAsia="Times New Roman" w:cs="Calibri"/>
                <w:bCs/>
                <w:iCs/>
                <w:sz w:val="20"/>
                <w:szCs w:val="20"/>
                <w:lang w:val="en-US"/>
              </w:rPr>
            </w:pPr>
            <w:r w:rsidRPr="006A3424">
              <w:rPr>
                <w:rFonts w:eastAsia="Times New Roman" w:cs="Calibri"/>
                <w:bCs/>
                <w:iCs/>
                <w:sz w:val="20"/>
                <w:szCs w:val="20"/>
                <w:lang w:val="en-US"/>
              </w:rPr>
              <w:t>27 751</w:t>
            </w:r>
          </w:p>
        </w:tc>
        <w:tc>
          <w:tcPr>
            <w:tcW w:w="1122" w:type="dxa"/>
            <w:shd w:val="clear" w:color="auto" w:fill="C5D9F1"/>
            <w:noWrap/>
            <w:vAlign w:val="bottom"/>
            <w:hideMark/>
          </w:tcPr>
          <w:p w:rsidR="003F490B" w:rsidRPr="00B51B7E" w:rsidRDefault="006A3424" w:rsidP="007066DB">
            <w:pPr>
              <w:spacing w:after="0" w:line="240" w:lineRule="auto"/>
              <w:jc w:val="right"/>
              <w:rPr>
                <w:rFonts w:eastAsia="Times New Roman" w:cs="Calibri"/>
                <w:bCs/>
                <w:iCs/>
                <w:sz w:val="20"/>
                <w:szCs w:val="20"/>
              </w:rPr>
            </w:pPr>
            <w:r w:rsidRPr="006A3424">
              <w:rPr>
                <w:rFonts w:eastAsia="Times New Roman" w:cs="Calibri"/>
                <w:bCs/>
                <w:iCs/>
                <w:sz w:val="20"/>
                <w:szCs w:val="20"/>
              </w:rPr>
              <w:t>(18 301)</w:t>
            </w:r>
          </w:p>
        </w:tc>
      </w:tr>
      <w:tr w:rsidR="003F490B" w:rsidRPr="00B51B7E" w:rsidTr="00E85A1A">
        <w:trPr>
          <w:trHeight w:val="287"/>
        </w:trPr>
        <w:tc>
          <w:tcPr>
            <w:tcW w:w="7134" w:type="dxa"/>
            <w:tcBorders>
              <w:top w:val="single" w:sz="4" w:space="0" w:color="auto"/>
              <w:left w:val="nil"/>
              <w:bottom w:val="single" w:sz="4" w:space="0" w:color="auto"/>
              <w:right w:val="nil"/>
            </w:tcBorders>
            <w:vAlign w:val="bottom"/>
            <w:hideMark/>
          </w:tcPr>
          <w:p w:rsidR="003F490B" w:rsidRPr="00B51B7E" w:rsidRDefault="003F490B" w:rsidP="007066DB">
            <w:pPr>
              <w:spacing w:after="0" w:line="240" w:lineRule="auto"/>
              <w:rPr>
                <w:rFonts w:eastAsia="Times New Roman" w:cs="Calibri"/>
                <w:b/>
                <w:bCs/>
                <w:iCs/>
                <w:sz w:val="20"/>
                <w:szCs w:val="20"/>
              </w:rPr>
            </w:pPr>
            <w:r w:rsidRPr="00B51B7E">
              <w:rPr>
                <w:rFonts w:eastAsia="Times New Roman" w:cs="Calibri"/>
                <w:b/>
                <w:bCs/>
                <w:iCs/>
                <w:sz w:val="20"/>
                <w:szCs w:val="20"/>
              </w:rPr>
              <w:t>Нетно увеличение/(намаление) на паричните средства и паричните еквиваленти</w:t>
            </w:r>
          </w:p>
        </w:tc>
        <w:tc>
          <w:tcPr>
            <w:tcW w:w="1103" w:type="dxa"/>
            <w:tcBorders>
              <w:top w:val="single" w:sz="4" w:space="0" w:color="auto"/>
              <w:left w:val="nil"/>
              <w:bottom w:val="single" w:sz="4" w:space="0" w:color="auto"/>
              <w:right w:val="nil"/>
            </w:tcBorders>
            <w:shd w:val="clear" w:color="auto" w:fill="DCE6F1"/>
            <w:noWrap/>
            <w:vAlign w:val="bottom"/>
            <w:hideMark/>
          </w:tcPr>
          <w:p w:rsidR="003F490B" w:rsidRPr="00B51B7E" w:rsidRDefault="006A3424" w:rsidP="007066DB">
            <w:pPr>
              <w:spacing w:after="0" w:line="240" w:lineRule="auto"/>
              <w:jc w:val="right"/>
              <w:rPr>
                <w:rFonts w:eastAsia="Times New Roman" w:cs="Calibri"/>
                <w:bCs/>
                <w:iCs/>
                <w:sz w:val="20"/>
                <w:szCs w:val="20"/>
                <w:lang w:val="en-US"/>
              </w:rPr>
            </w:pPr>
            <w:r w:rsidRPr="006A3424">
              <w:rPr>
                <w:rFonts w:eastAsia="Times New Roman" w:cs="Calibri"/>
                <w:bCs/>
                <w:iCs/>
                <w:sz w:val="20"/>
                <w:szCs w:val="20"/>
                <w:lang w:val="en-US"/>
              </w:rPr>
              <w:t>(2 845)</w:t>
            </w:r>
          </w:p>
        </w:tc>
        <w:tc>
          <w:tcPr>
            <w:tcW w:w="1122" w:type="dxa"/>
            <w:tcBorders>
              <w:top w:val="single" w:sz="4" w:space="0" w:color="auto"/>
              <w:left w:val="nil"/>
              <w:bottom w:val="single" w:sz="4" w:space="0" w:color="auto"/>
              <w:right w:val="nil"/>
            </w:tcBorders>
            <w:shd w:val="clear" w:color="auto" w:fill="C5D9F1"/>
            <w:noWrap/>
            <w:vAlign w:val="bottom"/>
            <w:hideMark/>
          </w:tcPr>
          <w:p w:rsidR="003F490B" w:rsidRPr="00B51B7E" w:rsidRDefault="006A3424" w:rsidP="007066DB">
            <w:pPr>
              <w:spacing w:after="0" w:line="240" w:lineRule="auto"/>
              <w:jc w:val="right"/>
              <w:rPr>
                <w:rFonts w:eastAsia="Times New Roman" w:cs="Calibri"/>
                <w:bCs/>
                <w:iCs/>
                <w:sz w:val="20"/>
                <w:szCs w:val="20"/>
              </w:rPr>
            </w:pPr>
            <w:r w:rsidRPr="006A3424">
              <w:rPr>
                <w:rFonts w:eastAsia="Times New Roman" w:cs="Calibri"/>
                <w:bCs/>
                <w:iCs/>
                <w:sz w:val="20"/>
                <w:szCs w:val="20"/>
              </w:rPr>
              <w:t>996</w:t>
            </w:r>
          </w:p>
        </w:tc>
      </w:tr>
      <w:tr w:rsidR="003F490B" w:rsidRPr="00B51B7E" w:rsidTr="00E85A1A">
        <w:trPr>
          <w:trHeight w:val="287"/>
        </w:trPr>
        <w:tc>
          <w:tcPr>
            <w:tcW w:w="7134" w:type="dxa"/>
            <w:tcBorders>
              <w:top w:val="single" w:sz="4" w:space="0" w:color="auto"/>
              <w:left w:val="nil"/>
              <w:bottom w:val="single" w:sz="4" w:space="0" w:color="auto"/>
              <w:right w:val="nil"/>
            </w:tcBorders>
            <w:vAlign w:val="bottom"/>
            <w:hideMark/>
          </w:tcPr>
          <w:p w:rsidR="003F490B" w:rsidRPr="00B51B7E" w:rsidRDefault="003F490B" w:rsidP="007066DB">
            <w:pPr>
              <w:spacing w:after="0" w:line="240" w:lineRule="auto"/>
              <w:rPr>
                <w:rFonts w:eastAsia="Times New Roman" w:cs="Calibri"/>
                <w:bCs/>
                <w:iCs/>
                <w:sz w:val="20"/>
                <w:szCs w:val="20"/>
              </w:rPr>
            </w:pPr>
            <w:r w:rsidRPr="00B51B7E">
              <w:rPr>
                <w:rFonts w:eastAsia="Times New Roman" w:cs="Calibri"/>
                <w:bCs/>
                <w:iCs/>
                <w:sz w:val="20"/>
                <w:szCs w:val="20"/>
              </w:rPr>
              <w:t>Парични средства и парични еквиваленти на 1 януари</w:t>
            </w:r>
          </w:p>
        </w:tc>
        <w:tc>
          <w:tcPr>
            <w:tcW w:w="1103" w:type="dxa"/>
            <w:tcBorders>
              <w:top w:val="nil"/>
              <w:left w:val="nil"/>
              <w:bottom w:val="single" w:sz="4" w:space="0" w:color="auto"/>
              <w:right w:val="nil"/>
            </w:tcBorders>
            <w:shd w:val="clear" w:color="auto" w:fill="DCE6F1"/>
            <w:noWrap/>
            <w:vAlign w:val="bottom"/>
            <w:hideMark/>
          </w:tcPr>
          <w:p w:rsidR="003F490B" w:rsidRPr="00B51B7E" w:rsidRDefault="00DA19BF" w:rsidP="007066DB">
            <w:pPr>
              <w:spacing w:after="0" w:line="240" w:lineRule="auto"/>
              <w:jc w:val="right"/>
              <w:rPr>
                <w:rFonts w:eastAsia="Times New Roman" w:cs="Calibri"/>
                <w:bCs/>
                <w:iCs/>
                <w:sz w:val="20"/>
                <w:szCs w:val="20"/>
                <w:lang w:val="en-US"/>
              </w:rPr>
            </w:pPr>
            <w:r w:rsidRPr="00DA19BF">
              <w:rPr>
                <w:rFonts w:eastAsia="Times New Roman" w:cs="Calibri"/>
                <w:bCs/>
                <w:iCs/>
                <w:sz w:val="20"/>
                <w:szCs w:val="20"/>
                <w:lang w:val="en-US"/>
              </w:rPr>
              <w:t>4 343</w:t>
            </w:r>
          </w:p>
        </w:tc>
        <w:tc>
          <w:tcPr>
            <w:tcW w:w="1122" w:type="dxa"/>
            <w:tcBorders>
              <w:top w:val="nil"/>
              <w:left w:val="nil"/>
              <w:bottom w:val="single" w:sz="4" w:space="0" w:color="auto"/>
              <w:right w:val="nil"/>
            </w:tcBorders>
            <w:shd w:val="clear" w:color="auto" w:fill="C5D9F1"/>
            <w:noWrap/>
            <w:vAlign w:val="bottom"/>
            <w:hideMark/>
          </w:tcPr>
          <w:p w:rsidR="003F490B" w:rsidRPr="00B51B7E" w:rsidRDefault="003F490B" w:rsidP="00DA19BF">
            <w:pPr>
              <w:spacing w:after="0" w:line="240" w:lineRule="auto"/>
              <w:jc w:val="right"/>
              <w:rPr>
                <w:rFonts w:eastAsia="Times New Roman" w:cs="Calibri"/>
                <w:bCs/>
                <w:iCs/>
                <w:sz w:val="20"/>
                <w:szCs w:val="20"/>
              </w:rPr>
            </w:pPr>
            <w:r w:rsidRPr="00B51B7E">
              <w:rPr>
                <w:rFonts w:eastAsia="Times New Roman" w:cs="Calibri"/>
                <w:bCs/>
                <w:iCs/>
                <w:sz w:val="20"/>
                <w:szCs w:val="20"/>
              </w:rPr>
              <w:t xml:space="preserve">3 </w:t>
            </w:r>
            <w:r w:rsidR="00DA19BF">
              <w:rPr>
                <w:rFonts w:eastAsia="Times New Roman" w:cs="Calibri"/>
                <w:bCs/>
                <w:iCs/>
                <w:sz w:val="20"/>
                <w:szCs w:val="20"/>
              </w:rPr>
              <w:t>745</w:t>
            </w:r>
          </w:p>
        </w:tc>
      </w:tr>
      <w:tr w:rsidR="003F490B" w:rsidRPr="00B51B7E" w:rsidTr="00E85A1A">
        <w:trPr>
          <w:trHeight w:val="287"/>
        </w:trPr>
        <w:tc>
          <w:tcPr>
            <w:tcW w:w="7134" w:type="dxa"/>
            <w:tcBorders>
              <w:top w:val="single" w:sz="4" w:space="0" w:color="auto"/>
              <w:left w:val="nil"/>
              <w:bottom w:val="double" w:sz="4" w:space="0" w:color="auto"/>
              <w:right w:val="nil"/>
            </w:tcBorders>
            <w:vAlign w:val="bottom"/>
            <w:hideMark/>
          </w:tcPr>
          <w:p w:rsidR="003F490B" w:rsidRPr="00DA19BF" w:rsidRDefault="003F490B" w:rsidP="002A15CB">
            <w:pPr>
              <w:spacing w:after="0" w:line="240" w:lineRule="auto"/>
              <w:rPr>
                <w:rFonts w:eastAsia="Times New Roman" w:cs="Calibri"/>
                <w:bCs/>
                <w:iCs/>
                <w:sz w:val="20"/>
                <w:szCs w:val="20"/>
              </w:rPr>
            </w:pPr>
            <w:r w:rsidRPr="00B51B7E">
              <w:rPr>
                <w:rFonts w:eastAsia="Times New Roman" w:cs="Calibri"/>
                <w:bCs/>
                <w:iCs/>
                <w:sz w:val="20"/>
                <w:szCs w:val="20"/>
              </w:rPr>
              <w:t>Парични средства и парични еквиваленти на 3</w:t>
            </w:r>
            <w:r w:rsidR="002A15CB">
              <w:rPr>
                <w:rFonts w:eastAsia="Times New Roman" w:cs="Calibri"/>
                <w:bCs/>
                <w:iCs/>
                <w:sz w:val="20"/>
                <w:szCs w:val="20"/>
              </w:rPr>
              <w:t>0</w:t>
            </w:r>
            <w:r w:rsidRPr="00B51B7E">
              <w:rPr>
                <w:rFonts w:eastAsia="Times New Roman" w:cs="Calibri"/>
                <w:bCs/>
                <w:iCs/>
                <w:sz w:val="20"/>
                <w:szCs w:val="20"/>
              </w:rPr>
              <w:t xml:space="preserve"> </w:t>
            </w:r>
            <w:r w:rsidR="002A15CB">
              <w:rPr>
                <w:rFonts w:eastAsia="Times New Roman" w:cs="Calibri"/>
                <w:bCs/>
                <w:iCs/>
                <w:sz w:val="20"/>
                <w:szCs w:val="20"/>
              </w:rPr>
              <w:t>юни</w:t>
            </w:r>
          </w:p>
        </w:tc>
        <w:tc>
          <w:tcPr>
            <w:tcW w:w="1103" w:type="dxa"/>
            <w:tcBorders>
              <w:top w:val="nil"/>
              <w:left w:val="nil"/>
              <w:bottom w:val="double" w:sz="6" w:space="0" w:color="auto"/>
              <w:right w:val="nil"/>
            </w:tcBorders>
            <w:shd w:val="clear" w:color="auto" w:fill="DCE6F1"/>
            <w:noWrap/>
            <w:vAlign w:val="bottom"/>
            <w:hideMark/>
          </w:tcPr>
          <w:p w:rsidR="003F490B" w:rsidRPr="00B51B7E" w:rsidRDefault="006A3424" w:rsidP="007066DB">
            <w:pPr>
              <w:spacing w:after="0" w:line="240" w:lineRule="auto"/>
              <w:jc w:val="right"/>
              <w:rPr>
                <w:rFonts w:eastAsia="Times New Roman" w:cs="Calibri"/>
                <w:bCs/>
                <w:iCs/>
                <w:sz w:val="20"/>
                <w:szCs w:val="20"/>
                <w:lang w:val="en-US"/>
              </w:rPr>
            </w:pPr>
            <w:r w:rsidRPr="006A3424">
              <w:rPr>
                <w:rFonts w:eastAsia="Times New Roman" w:cs="Calibri"/>
                <w:bCs/>
                <w:iCs/>
                <w:sz w:val="20"/>
                <w:szCs w:val="20"/>
                <w:lang w:val="en-US"/>
              </w:rPr>
              <w:t>1 498</w:t>
            </w:r>
          </w:p>
        </w:tc>
        <w:tc>
          <w:tcPr>
            <w:tcW w:w="1122" w:type="dxa"/>
            <w:tcBorders>
              <w:top w:val="nil"/>
              <w:left w:val="nil"/>
              <w:bottom w:val="double" w:sz="6" w:space="0" w:color="auto"/>
              <w:right w:val="nil"/>
            </w:tcBorders>
            <w:shd w:val="clear" w:color="auto" w:fill="C5D9F1"/>
            <w:noWrap/>
            <w:vAlign w:val="bottom"/>
            <w:hideMark/>
          </w:tcPr>
          <w:p w:rsidR="003F490B" w:rsidRPr="00B51B7E" w:rsidRDefault="006A3424" w:rsidP="007066DB">
            <w:pPr>
              <w:spacing w:after="0" w:line="240" w:lineRule="auto"/>
              <w:jc w:val="right"/>
              <w:rPr>
                <w:rFonts w:eastAsia="Times New Roman" w:cs="Calibri"/>
                <w:bCs/>
                <w:iCs/>
                <w:sz w:val="20"/>
                <w:szCs w:val="20"/>
              </w:rPr>
            </w:pPr>
            <w:r w:rsidRPr="006A3424">
              <w:rPr>
                <w:rFonts w:eastAsia="Times New Roman" w:cs="Calibri"/>
                <w:bCs/>
                <w:iCs/>
                <w:sz w:val="20"/>
                <w:szCs w:val="20"/>
              </w:rPr>
              <w:t>4 741</w:t>
            </w:r>
          </w:p>
        </w:tc>
      </w:tr>
    </w:tbl>
    <w:p w:rsidR="003F490B" w:rsidRPr="00B51B7E" w:rsidRDefault="003F490B" w:rsidP="003F490B">
      <w:pPr>
        <w:suppressAutoHyphens/>
        <w:autoSpaceDN w:val="0"/>
        <w:spacing w:before="40" w:after="40" w:line="240" w:lineRule="auto"/>
        <w:jc w:val="both"/>
        <w:textAlignment w:val="baseline"/>
        <w:rPr>
          <w:rFonts w:eastAsia="Calibri" w:cs="Calibri"/>
          <w:sz w:val="24"/>
          <w:szCs w:val="24"/>
          <w:lang w:eastAsia="en-US"/>
        </w:rPr>
      </w:pPr>
    </w:p>
    <w:p w:rsidR="003F490B" w:rsidRPr="00B51B7E" w:rsidRDefault="003F490B" w:rsidP="003F490B">
      <w:pPr>
        <w:suppressAutoHyphens/>
        <w:autoSpaceDN w:val="0"/>
        <w:spacing w:before="40" w:after="40" w:line="240" w:lineRule="auto"/>
        <w:jc w:val="both"/>
        <w:textAlignment w:val="baseline"/>
        <w:rPr>
          <w:rFonts w:eastAsia="Calibri" w:cs="Calibri"/>
          <w:sz w:val="24"/>
          <w:szCs w:val="24"/>
          <w:lang w:eastAsia="en-US"/>
        </w:rPr>
      </w:pPr>
      <w:r w:rsidRPr="00B51B7E">
        <w:rPr>
          <w:rFonts w:eastAsia="Calibri" w:cs="Calibri"/>
          <w:sz w:val="24"/>
          <w:szCs w:val="24"/>
          <w:lang w:eastAsia="en-US"/>
        </w:rPr>
        <w:t xml:space="preserve">Нетните парични потоци </w:t>
      </w:r>
      <w:r w:rsidR="0082623F">
        <w:rPr>
          <w:rFonts w:eastAsia="Calibri" w:cs="Calibri"/>
          <w:sz w:val="24"/>
          <w:szCs w:val="24"/>
          <w:lang w:eastAsia="en-US"/>
        </w:rPr>
        <w:t>през</w:t>
      </w:r>
      <w:r w:rsidR="0082623F" w:rsidRPr="00B51B7E">
        <w:rPr>
          <w:rFonts w:eastAsia="Calibri" w:cs="Calibri"/>
          <w:sz w:val="24"/>
          <w:szCs w:val="24"/>
          <w:lang w:eastAsia="en-US"/>
        </w:rPr>
        <w:t xml:space="preserve"> </w:t>
      </w:r>
      <w:r w:rsidR="00DA19BF">
        <w:rPr>
          <w:rFonts w:eastAsia="Calibri" w:cs="Calibri"/>
          <w:sz w:val="24"/>
          <w:szCs w:val="24"/>
          <w:lang w:eastAsia="en-US"/>
        </w:rPr>
        <w:t xml:space="preserve">първото </w:t>
      </w:r>
      <w:r w:rsidR="002A15CB">
        <w:rPr>
          <w:rFonts w:eastAsia="Calibri" w:cs="Calibri"/>
          <w:sz w:val="24"/>
          <w:szCs w:val="24"/>
          <w:lang w:eastAsia="en-US"/>
        </w:rPr>
        <w:t xml:space="preserve">полугодие </w:t>
      </w:r>
      <w:r w:rsidR="00DA19BF">
        <w:rPr>
          <w:rFonts w:eastAsia="Calibri" w:cs="Calibri"/>
          <w:sz w:val="24"/>
          <w:szCs w:val="24"/>
          <w:lang w:eastAsia="en-US"/>
        </w:rPr>
        <w:t xml:space="preserve">на </w:t>
      </w:r>
      <w:r w:rsidRPr="00B51B7E">
        <w:rPr>
          <w:rFonts w:eastAsia="Calibri" w:cs="Calibri"/>
          <w:sz w:val="24"/>
          <w:szCs w:val="24"/>
          <w:lang w:eastAsia="en-US"/>
        </w:rPr>
        <w:t>201</w:t>
      </w:r>
      <w:r w:rsidR="00DA19BF">
        <w:rPr>
          <w:rFonts w:eastAsia="Calibri" w:cs="Calibri"/>
          <w:sz w:val="24"/>
          <w:szCs w:val="24"/>
          <w:lang w:eastAsia="en-US"/>
        </w:rPr>
        <w:t>7</w:t>
      </w:r>
      <w:r w:rsidRPr="00B51B7E">
        <w:rPr>
          <w:rFonts w:eastAsia="Calibri" w:cs="Calibri"/>
          <w:sz w:val="24"/>
          <w:szCs w:val="24"/>
          <w:lang w:eastAsia="en-US"/>
        </w:rPr>
        <w:t xml:space="preserve"> г., генерирани от оперативна дейност</w:t>
      </w:r>
      <w:r w:rsidR="00DA19BF">
        <w:rPr>
          <w:rFonts w:eastAsia="Calibri" w:cs="Calibri"/>
          <w:sz w:val="24"/>
          <w:szCs w:val="24"/>
          <w:lang w:eastAsia="en-US"/>
        </w:rPr>
        <w:t>,</w:t>
      </w:r>
      <w:r w:rsidRPr="00B51B7E">
        <w:rPr>
          <w:rFonts w:eastAsia="Calibri" w:cs="Calibri"/>
          <w:sz w:val="24"/>
          <w:szCs w:val="24"/>
          <w:lang w:eastAsia="en-US"/>
        </w:rPr>
        <w:t xml:space="preserve"> са в размер </w:t>
      </w:r>
      <w:r w:rsidR="00DA19BF">
        <w:rPr>
          <w:rFonts w:eastAsia="Calibri" w:cs="Calibri"/>
          <w:sz w:val="24"/>
          <w:szCs w:val="24"/>
          <w:lang w:eastAsia="en-US"/>
        </w:rPr>
        <w:t>1</w:t>
      </w:r>
      <w:r w:rsidR="002A15CB">
        <w:rPr>
          <w:rFonts w:eastAsia="Calibri" w:cs="Calibri"/>
          <w:sz w:val="24"/>
          <w:szCs w:val="24"/>
          <w:lang w:eastAsia="en-US"/>
        </w:rPr>
        <w:t>1</w:t>
      </w:r>
      <w:r w:rsidR="00DA19BF">
        <w:rPr>
          <w:rFonts w:eastAsia="Calibri" w:cs="Calibri"/>
          <w:sz w:val="24"/>
          <w:szCs w:val="24"/>
          <w:lang w:eastAsia="en-US"/>
        </w:rPr>
        <w:t>,</w:t>
      </w:r>
      <w:r w:rsidR="002A15CB">
        <w:rPr>
          <w:rFonts w:eastAsia="Calibri" w:cs="Calibri"/>
          <w:sz w:val="24"/>
          <w:szCs w:val="24"/>
          <w:lang w:eastAsia="en-US"/>
        </w:rPr>
        <w:t>4</w:t>
      </w:r>
      <w:r w:rsidRPr="00B51B7E">
        <w:rPr>
          <w:rFonts w:eastAsia="Calibri" w:cs="Calibri"/>
          <w:sz w:val="24"/>
          <w:szCs w:val="24"/>
          <w:lang w:eastAsia="en-US"/>
        </w:rPr>
        <w:t xml:space="preserve"> млн. лв.</w:t>
      </w:r>
      <w:r w:rsidR="0082623F">
        <w:rPr>
          <w:rFonts w:eastAsia="Calibri" w:cs="Calibri"/>
          <w:sz w:val="24"/>
          <w:szCs w:val="24"/>
          <w:lang w:eastAsia="en-US"/>
        </w:rPr>
        <w:t xml:space="preserve"> входящ поток</w:t>
      </w:r>
      <w:r w:rsidRPr="00B51B7E">
        <w:rPr>
          <w:rFonts w:eastAsia="Calibri" w:cs="Calibri"/>
          <w:sz w:val="24"/>
          <w:szCs w:val="24"/>
          <w:lang w:eastAsia="en-US"/>
        </w:rPr>
        <w:t xml:space="preserve">, от инвестиционна дейност </w:t>
      </w:r>
      <w:r w:rsidR="00DA19BF">
        <w:rPr>
          <w:rFonts w:eastAsia="Calibri" w:cs="Calibri"/>
          <w:sz w:val="24"/>
          <w:szCs w:val="24"/>
          <w:lang w:eastAsia="en-US"/>
        </w:rPr>
        <w:t xml:space="preserve">са в размер на </w:t>
      </w:r>
      <w:r w:rsidR="002A15CB">
        <w:rPr>
          <w:rFonts w:eastAsia="Calibri" w:cs="Calibri"/>
          <w:sz w:val="24"/>
          <w:szCs w:val="24"/>
          <w:lang w:eastAsia="en-US"/>
        </w:rPr>
        <w:t>42</w:t>
      </w:r>
      <w:r w:rsidRPr="00B51B7E">
        <w:rPr>
          <w:rFonts w:eastAsia="Calibri" w:cs="Calibri"/>
          <w:sz w:val="24"/>
          <w:szCs w:val="24"/>
          <w:lang w:eastAsia="en-US"/>
        </w:rPr>
        <w:t xml:space="preserve"> млн. лв.</w:t>
      </w:r>
      <w:r w:rsidR="0082623F">
        <w:rPr>
          <w:rFonts w:eastAsia="Calibri" w:cs="Calibri"/>
          <w:sz w:val="24"/>
          <w:szCs w:val="24"/>
          <w:lang w:eastAsia="en-US"/>
        </w:rPr>
        <w:t xml:space="preserve"> </w:t>
      </w:r>
      <w:r w:rsidR="00DA19BF">
        <w:rPr>
          <w:rFonts w:eastAsia="Calibri" w:cs="Calibri"/>
          <w:sz w:val="24"/>
          <w:szCs w:val="24"/>
          <w:lang w:eastAsia="en-US"/>
        </w:rPr>
        <w:t xml:space="preserve">изходящ </w:t>
      </w:r>
      <w:r w:rsidR="0082623F">
        <w:rPr>
          <w:rFonts w:eastAsia="Calibri" w:cs="Calibri"/>
          <w:sz w:val="24"/>
          <w:szCs w:val="24"/>
          <w:lang w:eastAsia="en-US"/>
        </w:rPr>
        <w:t>поток</w:t>
      </w:r>
      <w:r w:rsidRPr="00B51B7E">
        <w:rPr>
          <w:rFonts w:eastAsia="Calibri" w:cs="Calibri"/>
          <w:sz w:val="24"/>
          <w:szCs w:val="24"/>
          <w:lang w:eastAsia="en-US"/>
        </w:rPr>
        <w:t xml:space="preserve"> и от финансова дейност </w:t>
      </w:r>
      <w:r w:rsidR="00DA19BF">
        <w:rPr>
          <w:rFonts w:eastAsia="Calibri" w:cs="Calibri"/>
          <w:sz w:val="24"/>
          <w:szCs w:val="24"/>
          <w:lang w:eastAsia="en-US"/>
        </w:rPr>
        <w:t xml:space="preserve">са в размер на </w:t>
      </w:r>
      <w:r w:rsidR="002A15CB">
        <w:rPr>
          <w:rFonts w:eastAsia="Calibri" w:cs="Calibri"/>
          <w:sz w:val="24"/>
          <w:szCs w:val="24"/>
          <w:lang w:eastAsia="en-US"/>
        </w:rPr>
        <w:t>27</w:t>
      </w:r>
      <w:r w:rsidR="00DA19BF">
        <w:rPr>
          <w:rFonts w:eastAsia="Calibri" w:cs="Calibri"/>
          <w:sz w:val="24"/>
          <w:szCs w:val="24"/>
          <w:lang w:eastAsia="en-US"/>
        </w:rPr>
        <w:t>,8</w:t>
      </w:r>
      <w:r w:rsidR="0082623F" w:rsidRPr="00B51B7E">
        <w:rPr>
          <w:rFonts w:eastAsia="Calibri" w:cs="Calibri"/>
          <w:sz w:val="24"/>
          <w:szCs w:val="24"/>
          <w:lang w:eastAsia="en-US"/>
        </w:rPr>
        <w:t xml:space="preserve"> </w:t>
      </w:r>
      <w:r w:rsidRPr="00B51B7E">
        <w:rPr>
          <w:rFonts w:eastAsia="Calibri" w:cs="Calibri"/>
          <w:sz w:val="24"/>
          <w:szCs w:val="24"/>
          <w:lang w:eastAsia="en-US"/>
        </w:rPr>
        <w:t>млн. лв.</w:t>
      </w:r>
      <w:r w:rsidR="0082623F">
        <w:rPr>
          <w:rFonts w:eastAsia="Calibri" w:cs="Calibri"/>
          <w:sz w:val="24"/>
          <w:szCs w:val="24"/>
          <w:lang w:eastAsia="en-US"/>
        </w:rPr>
        <w:t xml:space="preserve"> </w:t>
      </w:r>
      <w:r w:rsidR="002A15CB">
        <w:rPr>
          <w:rFonts w:eastAsia="Calibri" w:cs="Calibri"/>
          <w:sz w:val="24"/>
          <w:szCs w:val="24"/>
          <w:lang w:eastAsia="en-US"/>
        </w:rPr>
        <w:t xml:space="preserve">входящ </w:t>
      </w:r>
      <w:r w:rsidR="0082623F">
        <w:rPr>
          <w:rFonts w:eastAsia="Calibri" w:cs="Calibri"/>
          <w:sz w:val="24"/>
          <w:szCs w:val="24"/>
          <w:lang w:eastAsia="en-US"/>
        </w:rPr>
        <w:t>поток.</w:t>
      </w:r>
      <w:r w:rsidRPr="00B51B7E">
        <w:rPr>
          <w:rFonts w:eastAsia="Calibri" w:cs="Calibri"/>
          <w:sz w:val="24"/>
          <w:szCs w:val="24"/>
          <w:lang w:eastAsia="en-US"/>
        </w:rPr>
        <w:t xml:space="preserve"> В резултат на тези дейности паричните средства и еквиваленти </w:t>
      </w:r>
      <w:r w:rsidR="00DA19BF">
        <w:rPr>
          <w:rFonts w:eastAsia="Calibri" w:cs="Calibri"/>
          <w:sz w:val="24"/>
          <w:szCs w:val="24"/>
          <w:lang w:eastAsia="en-US"/>
        </w:rPr>
        <w:t>намаляват</w:t>
      </w:r>
      <w:r w:rsidR="0082623F">
        <w:rPr>
          <w:rFonts w:eastAsia="Calibri" w:cs="Calibri"/>
          <w:sz w:val="24"/>
          <w:szCs w:val="24"/>
          <w:lang w:eastAsia="en-US"/>
        </w:rPr>
        <w:t xml:space="preserve"> </w:t>
      </w:r>
      <w:r w:rsidRPr="00B51B7E">
        <w:rPr>
          <w:rFonts w:eastAsia="Calibri" w:cs="Calibri"/>
          <w:sz w:val="24"/>
          <w:szCs w:val="24"/>
          <w:lang w:eastAsia="en-US"/>
        </w:rPr>
        <w:t xml:space="preserve">нетно с </w:t>
      </w:r>
      <w:r w:rsidR="002A15CB">
        <w:rPr>
          <w:rFonts w:eastAsia="Calibri" w:cs="Calibri"/>
          <w:sz w:val="24"/>
          <w:szCs w:val="24"/>
          <w:lang w:eastAsia="en-US"/>
        </w:rPr>
        <w:t>2,8</w:t>
      </w:r>
      <w:r w:rsidRPr="00B51B7E">
        <w:rPr>
          <w:rFonts w:eastAsia="Calibri" w:cs="Calibri"/>
          <w:sz w:val="24"/>
          <w:szCs w:val="24"/>
          <w:lang w:eastAsia="en-US"/>
        </w:rPr>
        <w:t xml:space="preserve"> млн. лв. и към 3</w:t>
      </w:r>
      <w:r w:rsidR="002A15CB">
        <w:rPr>
          <w:rFonts w:eastAsia="Calibri" w:cs="Calibri"/>
          <w:sz w:val="24"/>
          <w:szCs w:val="24"/>
          <w:lang w:eastAsia="en-US"/>
        </w:rPr>
        <w:t>0</w:t>
      </w:r>
      <w:r w:rsidRPr="00B51B7E">
        <w:rPr>
          <w:rFonts w:eastAsia="Calibri" w:cs="Calibri"/>
          <w:sz w:val="24"/>
          <w:szCs w:val="24"/>
          <w:lang w:eastAsia="en-US"/>
        </w:rPr>
        <w:t>.</w:t>
      </w:r>
      <w:r w:rsidR="00DA19BF">
        <w:rPr>
          <w:rFonts w:eastAsia="Calibri" w:cs="Calibri"/>
          <w:sz w:val="24"/>
          <w:szCs w:val="24"/>
          <w:lang w:val="ru-RU" w:eastAsia="en-US"/>
        </w:rPr>
        <w:t>0</w:t>
      </w:r>
      <w:r w:rsidR="002A15CB">
        <w:rPr>
          <w:rFonts w:eastAsia="Calibri" w:cs="Calibri"/>
          <w:sz w:val="24"/>
          <w:szCs w:val="24"/>
          <w:lang w:val="ru-RU" w:eastAsia="en-US"/>
        </w:rPr>
        <w:t>6</w:t>
      </w:r>
      <w:r w:rsidRPr="00B51B7E">
        <w:rPr>
          <w:rFonts w:eastAsia="Calibri" w:cs="Calibri"/>
          <w:sz w:val="24"/>
          <w:szCs w:val="24"/>
          <w:lang w:eastAsia="en-US"/>
        </w:rPr>
        <w:t>.201</w:t>
      </w:r>
      <w:r w:rsidR="00DA19BF">
        <w:rPr>
          <w:rFonts w:eastAsia="Calibri" w:cs="Calibri"/>
          <w:sz w:val="24"/>
          <w:szCs w:val="24"/>
          <w:lang w:eastAsia="en-US"/>
        </w:rPr>
        <w:t>7</w:t>
      </w:r>
      <w:r w:rsidRPr="00B51B7E">
        <w:rPr>
          <w:rFonts w:eastAsia="Calibri" w:cs="Calibri"/>
          <w:sz w:val="24"/>
          <w:szCs w:val="24"/>
          <w:lang w:eastAsia="en-US"/>
        </w:rPr>
        <w:t xml:space="preserve"> г. са в размер </w:t>
      </w:r>
      <w:r w:rsidR="002A15CB">
        <w:rPr>
          <w:rFonts w:eastAsia="Calibri" w:cs="Calibri"/>
          <w:sz w:val="24"/>
          <w:szCs w:val="24"/>
          <w:lang w:eastAsia="en-US"/>
        </w:rPr>
        <w:t>1</w:t>
      </w:r>
      <w:r w:rsidR="00DA19BF">
        <w:rPr>
          <w:rFonts w:eastAsia="Calibri" w:cs="Calibri"/>
          <w:sz w:val="24"/>
          <w:szCs w:val="24"/>
          <w:lang w:eastAsia="en-US"/>
        </w:rPr>
        <w:t>,</w:t>
      </w:r>
      <w:r w:rsidR="002A15CB">
        <w:rPr>
          <w:rFonts w:eastAsia="Calibri" w:cs="Calibri"/>
          <w:sz w:val="24"/>
          <w:szCs w:val="24"/>
          <w:lang w:eastAsia="en-US"/>
        </w:rPr>
        <w:t>5</w:t>
      </w:r>
      <w:r w:rsidRPr="00B51B7E">
        <w:rPr>
          <w:rFonts w:eastAsia="Calibri" w:cs="Calibri"/>
          <w:sz w:val="24"/>
          <w:szCs w:val="24"/>
          <w:lang w:eastAsia="en-US"/>
        </w:rPr>
        <w:t xml:space="preserve"> млн. лв., спрямо </w:t>
      </w:r>
      <w:r w:rsidR="00DA19BF">
        <w:rPr>
          <w:rFonts w:eastAsia="Calibri" w:cs="Calibri"/>
          <w:sz w:val="24"/>
          <w:szCs w:val="24"/>
          <w:lang w:eastAsia="en-US"/>
        </w:rPr>
        <w:t>4,3</w:t>
      </w:r>
      <w:r w:rsidRPr="00B51B7E">
        <w:rPr>
          <w:rFonts w:eastAsia="Calibri" w:cs="Calibri"/>
          <w:sz w:val="24"/>
          <w:szCs w:val="24"/>
          <w:lang w:eastAsia="en-US"/>
        </w:rPr>
        <w:t xml:space="preserve"> млн. лв. към 01.01.201</w:t>
      </w:r>
      <w:r w:rsidR="00DA19BF">
        <w:rPr>
          <w:rFonts w:eastAsia="Calibri" w:cs="Calibri"/>
          <w:sz w:val="24"/>
          <w:szCs w:val="24"/>
          <w:lang w:eastAsia="en-US"/>
        </w:rPr>
        <w:t>7</w:t>
      </w:r>
      <w:r w:rsidRPr="00B51B7E">
        <w:rPr>
          <w:rFonts w:eastAsia="Calibri" w:cs="Calibri"/>
          <w:sz w:val="24"/>
          <w:szCs w:val="24"/>
          <w:lang w:eastAsia="en-US"/>
        </w:rPr>
        <w:t xml:space="preserve"> г.</w:t>
      </w:r>
    </w:p>
    <w:p w:rsidR="000A0779" w:rsidRDefault="000A0779" w:rsidP="000A0779">
      <w:pPr>
        <w:keepNext/>
        <w:suppressAutoHyphens/>
        <w:autoSpaceDN w:val="0"/>
        <w:spacing w:before="40" w:after="40" w:line="240" w:lineRule="auto"/>
        <w:jc w:val="both"/>
        <w:textAlignment w:val="baseline"/>
        <w:rPr>
          <w:rFonts w:eastAsia="Calibri" w:cs="Calibri"/>
          <w:i/>
          <w:color w:val="1F497D"/>
          <w:sz w:val="24"/>
          <w:szCs w:val="24"/>
          <w:lang w:val="en-US"/>
        </w:rPr>
      </w:pPr>
    </w:p>
    <w:p w:rsidR="00F30840" w:rsidRDefault="00F30840" w:rsidP="000A0779">
      <w:pPr>
        <w:keepNext/>
        <w:suppressAutoHyphens/>
        <w:autoSpaceDN w:val="0"/>
        <w:spacing w:before="40" w:after="40" w:line="240" w:lineRule="auto"/>
        <w:jc w:val="both"/>
        <w:textAlignment w:val="baseline"/>
        <w:rPr>
          <w:rFonts w:eastAsia="Calibri" w:cs="Calibri"/>
          <w:i/>
          <w:color w:val="1F497D"/>
          <w:sz w:val="24"/>
          <w:szCs w:val="24"/>
        </w:rPr>
      </w:pPr>
    </w:p>
    <w:p w:rsidR="000A0779" w:rsidRPr="001B413B" w:rsidRDefault="000A0779" w:rsidP="000A0779">
      <w:pPr>
        <w:keepNext/>
        <w:suppressAutoHyphens/>
        <w:autoSpaceDN w:val="0"/>
        <w:spacing w:before="40" w:after="40" w:line="240" w:lineRule="auto"/>
        <w:jc w:val="both"/>
        <w:textAlignment w:val="baseline"/>
        <w:rPr>
          <w:rFonts w:eastAsia="Calibri" w:cs="Calibri"/>
          <w:i/>
          <w:color w:val="1F497D"/>
          <w:sz w:val="24"/>
          <w:szCs w:val="24"/>
        </w:rPr>
      </w:pPr>
      <w:r w:rsidRPr="001B413B">
        <w:rPr>
          <w:rFonts w:eastAsia="Calibri" w:cs="Calibri"/>
          <w:i/>
          <w:color w:val="1F497D"/>
          <w:sz w:val="24"/>
          <w:szCs w:val="24"/>
        </w:rPr>
        <w:t xml:space="preserve">Финансови показатели  </w:t>
      </w:r>
    </w:p>
    <w:p w:rsidR="000A0779" w:rsidRPr="00B51B7E" w:rsidRDefault="000A0779" w:rsidP="000A0779">
      <w:pPr>
        <w:keepNext/>
        <w:suppressAutoHyphens/>
        <w:autoSpaceDN w:val="0"/>
        <w:spacing w:before="40" w:after="40" w:line="240" w:lineRule="auto"/>
        <w:jc w:val="both"/>
        <w:textAlignment w:val="baseline"/>
        <w:rPr>
          <w:rFonts w:eastAsia="Calibri" w:cs="Calibri"/>
          <w:b/>
          <w:color w:val="1F497D"/>
          <w:sz w:val="28"/>
          <w:szCs w:val="28"/>
        </w:rPr>
      </w:pPr>
    </w:p>
    <w:tbl>
      <w:tblPr>
        <w:tblW w:w="9654" w:type="dxa"/>
        <w:tblInd w:w="55" w:type="dxa"/>
        <w:tblBorders>
          <w:bottom w:val="single" w:sz="4" w:space="0" w:color="auto"/>
        </w:tblBorders>
        <w:tblCellMar>
          <w:left w:w="70" w:type="dxa"/>
          <w:right w:w="70" w:type="dxa"/>
        </w:tblCellMar>
        <w:tblLook w:val="04A0" w:firstRow="1" w:lastRow="0" w:firstColumn="1" w:lastColumn="0" w:noHBand="0" w:noVBand="1"/>
      </w:tblPr>
      <w:tblGrid>
        <w:gridCol w:w="5755"/>
        <w:gridCol w:w="1460"/>
        <w:gridCol w:w="1451"/>
        <w:gridCol w:w="988"/>
      </w:tblGrid>
      <w:tr w:rsidR="00C13AE1" w:rsidRPr="00B51B7E" w:rsidTr="00893A2E">
        <w:trPr>
          <w:trHeight w:val="398"/>
        </w:trPr>
        <w:tc>
          <w:tcPr>
            <w:tcW w:w="5755" w:type="dxa"/>
            <w:tcBorders>
              <w:top w:val="nil"/>
              <w:left w:val="nil"/>
              <w:bottom w:val="nil"/>
              <w:right w:val="nil"/>
            </w:tcBorders>
            <w:noWrap/>
            <w:vAlign w:val="bottom"/>
            <w:hideMark/>
          </w:tcPr>
          <w:p w:rsidR="000A0779" w:rsidRPr="00B51B7E" w:rsidRDefault="000A0779" w:rsidP="000A0779">
            <w:pPr>
              <w:spacing w:after="0" w:line="240" w:lineRule="auto"/>
              <w:rPr>
                <w:sz w:val="20"/>
                <w:szCs w:val="20"/>
                <w:lang w:val="en-US" w:eastAsia="en-US"/>
              </w:rPr>
            </w:pPr>
          </w:p>
        </w:tc>
        <w:tc>
          <w:tcPr>
            <w:tcW w:w="1460" w:type="dxa"/>
            <w:tcBorders>
              <w:top w:val="nil"/>
              <w:left w:val="nil"/>
              <w:bottom w:val="nil"/>
              <w:right w:val="nil"/>
            </w:tcBorders>
            <w:shd w:val="clear" w:color="auto" w:fill="DCE6F1"/>
            <w:noWrap/>
            <w:vAlign w:val="bottom"/>
            <w:hideMark/>
          </w:tcPr>
          <w:p w:rsidR="000A0779" w:rsidRPr="00B51B7E" w:rsidRDefault="000A0779" w:rsidP="00BC38C9">
            <w:pPr>
              <w:keepNext/>
              <w:spacing w:after="0" w:line="240" w:lineRule="auto"/>
              <w:jc w:val="right"/>
              <w:rPr>
                <w:rFonts w:eastAsia="Times New Roman" w:cs="Calibri"/>
                <w:b/>
                <w:bCs/>
                <w:i/>
                <w:sz w:val="20"/>
                <w:szCs w:val="20"/>
              </w:rPr>
            </w:pPr>
            <w:r w:rsidRPr="00B51B7E">
              <w:rPr>
                <w:rFonts w:eastAsia="Times New Roman" w:cs="Calibri"/>
                <w:b/>
                <w:bCs/>
                <w:sz w:val="20"/>
                <w:szCs w:val="20"/>
              </w:rPr>
              <w:t>3</w:t>
            </w:r>
            <w:r w:rsidR="00BC38C9">
              <w:rPr>
                <w:rFonts w:eastAsia="Times New Roman" w:cs="Calibri"/>
                <w:b/>
                <w:bCs/>
                <w:sz w:val="20"/>
                <w:szCs w:val="20"/>
              </w:rPr>
              <w:t>0</w:t>
            </w:r>
            <w:r w:rsidRPr="00B51B7E">
              <w:rPr>
                <w:rFonts w:eastAsia="Times New Roman" w:cs="Calibri"/>
                <w:b/>
                <w:bCs/>
                <w:sz w:val="20"/>
                <w:szCs w:val="20"/>
              </w:rPr>
              <w:t>.</w:t>
            </w:r>
            <w:r w:rsidR="00BC38C9">
              <w:rPr>
                <w:rFonts w:eastAsia="Times New Roman" w:cs="Calibri"/>
                <w:b/>
                <w:bCs/>
                <w:sz w:val="20"/>
                <w:szCs w:val="20"/>
              </w:rPr>
              <w:t>06</w:t>
            </w:r>
            <w:r w:rsidRPr="00B51B7E">
              <w:rPr>
                <w:rFonts w:eastAsia="Times New Roman" w:cs="Calibri"/>
                <w:b/>
                <w:bCs/>
                <w:i/>
                <w:sz w:val="20"/>
                <w:szCs w:val="20"/>
              </w:rPr>
              <w:t>.</w:t>
            </w:r>
            <w:r w:rsidRPr="00B51B7E">
              <w:rPr>
                <w:rFonts w:eastAsia="Times New Roman" w:cs="Calibri"/>
                <w:b/>
                <w:bCs/>
                <w:sz w:val="20"/>
                <w:szCs w:val="20"/>
              </w:rPr>
              <w:t>201</w:t>
            </w:r>
            <w:r w:rsidR="00BC38C9">
              <w:rPr>
                <w:rFonts w:eastAsia="Times New Roman" w:cs="Calibri"/>
                <w:b/>
                <w:bCs/>
                <w:sz w:val="20"/>
                <w:szCs w:val="20"/>
              </w:rPr>
              <w:t>7</w:t>
            </w:r>
          </w:p>
        </w:tc>
        <w:tc>
          <w:tcPr>
            <w:tcW w:w="1451" w:type="dxa"/>
            <w:tcBorders>
              <w:top w:val="nil"/>
              <w:left w:val="nil"/>
              <w:bottom w:val="nil"/>
              <w:right w:val="nil"/>
            </w:tcBorders>
            <w:shd w:val="clear" w:color="auto" w:fill="C5D9F1"/>
            <w:noWrap/>
            <w:vAlign w:val="bottom"/>
            <w:hideMark/>
          </w:tcPr>
          <w:p w:rsidR="000A0779" w:rsidRPr="007B205E" w:rsidRDefault="000A0779" w:rsidP="00FC04C8">
            <w:pPr>
              <w:keepNext/>
              <w:spacing w:after="0" w:line="240" w:lineRule="auto"/>
              <w:jc w:val="right"/>
              <w:rPr>
                <w:rFonts w:eastAsia="Times New Roman" w:cs="Calibri"/>
                <w:b/>
                <w:bCs/>
                <w:sz w:val="20"/>
                <w:szCs w:val="20"/>
                <w:lang w:val="en-US"/>
              </w:rPr>
            </w:pPr>
            <w:r w:rsidRPr="00B51B7E">
              <w:rPr>
                <w:rFonts w:eastAsia="Times New Roman" w:cs="Calibri"/>
                <w:b/>
                <w:bCs/>
                <w:sz w:val="20"/>
                <w:szCs w:val="20"/>
              </w:rPr>
              <w:t>3</w:t>
            </w:r>
            <w:r w:rsidR="00BC38C9">
              <w:rPr>
                <w:rFonts w:eastAsia="Times New Roman" w:cs="Calibri"/>
                <w:b/>
                <w:bCs/>
                <w:sz w:val="20"/>
                <w:szCs w:val="20"/>
              </w:rPr>
              <w:t>0</w:t>
            </w:r>
            <w:r w:rsidRPr="00B51B7E">
              <w:rPr>
                <w:rFonts w:eastAsia="Times New Roman" w:cs="Calibri"/>
                <w:b/>
                <w:bCs/>
                <w:sz w:val="20"/>
                <w:szCs w:val="20"/>
              </w:rPr>
              <w:t>.</w:t>
            </w:r>
            <w:r>
              <w:rPr>
                <w:rFonts w:eastAsia="Times New Roman" w:cs="Calibri"/>
                <w:b/>
                <w:bCs/>
                <w:sz w:val="20"/>
                <w:szCs w:val="20"/>
                <w:lang w:val="en-US"/>
              </w:rPr>
              <w:t>0</w:t>
            </w:r>
            <w:r w:rsidR="00BC38C9">
              <w:rPr>
                <w:rFonts w:eastAsia="Times New Roman" w:cs="Calibri"/>
                <w:b/>
                <w:bCs/>
                <w:sz w:val="20"/>
                <w:szCs w:val="20"/>
              </w:rPr>
              <w:t>6</w:t>
            </w:r>
            <w:r w:rsidRPr="00B51B7E">
              <w:rPr>
                <w:rFonts w:eastAsia="Times New Roman" w:cs="Calibri"/>
                <w:b/>
                <w:bCs/>
                <w:sz w:val="20"/>
                <w:szCs w:val="20"/>
              </w:rPr>
              <w:t>.201</w:t>
            </w:r>
            <w:r>
              <w:rPr>
                <w:rFonts w:eastAsia="Times New Roman" w:cs="Calibri"/>
                <w:b/>
                <w:bCs/>
                <w:sz w:val="20"/>
                <w:szCs w:val="20"/>
                <w:lang w:val="en-US"/>
              </w:rPr>
              <w:t>6</w:t>
            </w:r>
          </w:p>
        </w:tc>
        <w:tc>
          <w:tcPr>
            <w:tcW w:w="988" w:type="dxa"/>
            <w:tcBorders>
              <w:top w:val="nil"/>
              <w:left w:val="nil"/>
              <w:bottom w:val="nil"/>
              <w:right w:val="nil"/>
            </w:tcBorders>
            <w:shd w:val="clear" w:color="auto" w:fill="FFFFFF"/>
          </w:tcPr>
          <w:p w:rsidR="000A0779" w:rsidRPr="00B51B7E" w:rsidRDefault="000A0779" w:rsidP="000A0779">
            <w:pPr>
              <w:keepNext/>
              <w:spacing w:after="0" w:line="240" w:lineRule="auto"/>
              <w:jc w:val="right"/>
              <w:rPr>
                <w:rFonts w:eastAsia="Times New Roman" w:cs="Calibri"/>
                <w:b/>
                <w:bCs/>
                <w:sz w:val="20"/>
                <w:szCs w:val="20"/>
              </w:rPr>
            </w:pPr>
          </w:p>
          <w:p w:rsidR="000A0779" w:rsidRPr="00B51B7E" w:rsidRDefault="000A0779" w:rsidP="00893A2E">
            <w:pPr>
              <w:keepNext/>
              <w:spacing w:after="0" w:line="240" w:lineRule="auto"/>
              <w:ind w:left="-109"/>
              <w:jc w:val="right"/>
              <w:rPr>
                <w:rFonts w:eastAsia="Times New Roman" w:cs="Calibri"/>
                <w:b/>
                <w:bCs/>
                <w:sz w:val="20"/>
                <w:szCs w:val="20"/>
              </w:rPr>
            </w:pPr>
            <w:r w:rsidRPr="00B51B7E">
              <w:rPr>
                <w:rFonts w:eastAsia="Times New Roman" w:cs="Calibri"/>
                <w:b/>
                <w:bCs/>
                <w:sz w:val="20"/>
                <w:szCs w:val="20"/>
              </w:rPr>
              <w:t>промяна</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bookmarkStart w:id="10" w:name="_GoBack" w:colFirst="1" w:colLast="3"/>
            <w:r w:rsidRPr="00B51B7E">
              <w:rPr>
                <w:rFonts w:eastAsia="Times New Roman" w:cs="Calibri"/>
                <w:sz w:val="20"/>
                <w:szCs w:val="20"/>
              </w:rPr>
              <w:t>Възвращаемост на собствения капитал (ROE)</w:t>
            </w:r>
            <w:r w:rsidRPr="00B51B7E">
              <w:rPr>
                <w:rFonts w:eastAsia="Times New Roman" w:cs="Calibri"/>
                <w:sz w:val="20"/>
                <w:szCs w:val="20"/>
                <w:vertAlign w:val="superscript"/>
              </w:rPr>
              <w:t xml:space="preserve">   1</w:t>
            </w:r>
          </w:p>
        </w:tc>
        <w:tc>
          <w:tcPr>
            <w:tcW w:w="1460" w:type="dxa"/>
            <w:tcBorders>
              <w:top w:val="nil"/>
              <w:left w:val="nil"/>
              <w:bottom w:val="nil"/>
              <w:right w:val="nil"/>
            </w:tcBorders>
            <w:shd w:val="clear" w:color="auto" w:fill="DCE6F1"/>
            <w:noWrap/>
            <w:vAlign w:val="bottom"/>
            <w:hideMark/>
          </w:tcPr>
          <w:p w:rsidR="00BC38C9" w:rsidRPr="00B51B7E" w:rsidRDefault="001B0E54" w:rsidP="001B0E54">
            <w:pPr>
              <w:keepNext/>
              <w:spacing w:after="0" w:line="240" w:lineRule="auto"/>
              <w:jc w:val="right"/>
              <w:rPr>
                <w:rFonts w:eastAsia="Times New Roman" w:cs="Calibri"/>
                <w:sz w:val="20"/>
                <w:szCs w:val="20"/>
              </w:rPr>
            </w:pPr>
            <w:r>
              <w:rPr>
                <w:rFonts w:eastAsia="Times New Roman" w:cs="Calibri"/>
                <w:sz w:val="20"/>
                <w:szCs w:val="20"/>
                <w:lang w:val="en-US"/>
              </w:rPr>
              <w:t>7</w:t>
            </w:r>
            <w:r w:rsidR="00BC38C9" w:rsidRPr="00B51B7E">
              <w:rPr>
                <w:rFonts w:eastAsia="Times New Roman" w:cs="Calibri"/>
                <w:sz w:val="20"/>
                <w:szCs w:val="20"/>
              </w:rPr>
              <w:t>,</w:t>
            </w:r>
            <w:r>
              <w:rPr>
                <w:rFonts w:eastAsia="Times New Roman" w:cs="Calibri"/>
                <w:sz w:val="20"/>
                <w:szCs w:val="20"/>
                <w:lang w:val="en-US"/>
              </w:rPr>
              <w:t>6</w:t>
            </w:r>
            <w:r w:rsidR="00BC38C9" w:rsidRPr="00B51B7E">
              <w:rPr>
                <w:rFonts w:eastAsia="Times New Roman" w:cs="Calibri"/>
                <w:sz w:val="20"/>
                <w:szCs w:val="20"/>
              </w:rPr>
              <w:t>%</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rPr>
            </w:pPr>
            <w:r>
              <w:rPr>
                <w:rFonts w:eastAsia="Times New Roman" w:cs="Calibri"/>
                <w:sz w:val="20"/>
                <w:szCs w:val="20"/>
                <w:lang w:val="en-US"/>
              </w:rPr>
              <w:t>7</w:t>
            </w:r>
            <w:r>
              <w:rPr>
                <w:rFonts w:eastAsia="Times New Roman" w:cs="Calibri"/>
                <w:sz w:val="20"/>
                <w:szCs w:val="20"/>
              </w:rPr>
              <w:t>,</w:t>
            </w:r>
            <w:r>
              <w:rPr>
                <w:rFonts w:eastAsia="Times New Roman" w:cs="Calibri"/>
                <w:sz w:val="20"/>
                <w:szCs w:val="20"/>
                <w:lang w:val="en-US"/>
              </w:rPr>
              <w:t>6</w:t>
            </w:r>
            <w:r>
              <w:rPr>
                <w:rFonts w:eastAsia="Times New Roman" w:cs="Calibri"/>
                <w:sz w:val="20"/>
                <w:szCs w:val="20"/>
              </w:rPr>
              <w:t>%</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1B0E54" w:rsidP="000A0779">
            <w:pPr>
              <w:keepNext/>
              <w:spacing w:after="0" w:line="240" w:lineRule="auto"/>
              <w:jc w:val="right"/>
              <w:rPr>
                <w:rFonts w:eastAsia="Times New Roman" w:cs="Calibri"/>
                <w:sz w:val="20"/>
                <w:szCs w:val="20"/>
              </w:rPr>
            </w:pPr>
            <w:r>
              <w:rPr>
                <w:rFonts w:eastAsia="Times New Roman" w:cs="Calibri"/>
                <w:sz w:val="20"/>
                <w:szCs w:val="20"/>
                <w:lang w:val="en-US"/>
              </w:rPr>
              <w:t>-</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r w:rsidRPr="00B51B7E">
              <w:rPr>
                <w:rFonts w:eastAsia="Times New Roman" w:cs="Calibri"/>
                <w:sz w:val="20"/>
                <w:szCs w:val="20"/>
              </w:rPr>
              <w:t xml:space="preserve">Възвращаемост на активите (ROA) </w:t>
            </w:r>
            <w:r w:rsidRPr="00B51B7E">
              <w:rPr>
                <w:rFonts w:eastAsia="Times New Roman" w:cs="Calibri"/>
                <w:sz w:val="20"/>
                <w:szCs w:val="20"/>
                <w:vertAlign w:val="superscript"/>
              </w:rPr>
              <w:t>2</w:t>
            </w:r>
          </w:p>
        </w:tc>
        <w:tc>
          <w:tcPr>
            <w:tcW w:w="1460" w:type="dxa"/>
            <w:tcBorders>
              <w:top w:val="nil"/>
              <w:left w:val="nil"/>
              <w:bottom w:val="nil"/>
              <w:right w:val="nil"/>
            </w:tcBorders>
            <w:shd w:val="clear" w:color="auto" w:fill="DCE6F1"/>
            <w:noWrap/>
            <w:vAlign w:val="bottom"/>
            <w:hideMark/>
          </w:tcPr>
          <w:p w:rsidR="00BC38C9" w:rsidRPr="00B51B7E" w:rsidRDefault="00BC38C9" w:rsidP="001B0E54">
            <w:pPr>
              <w:keepNext/>
              <w:spacing w:after="0" w:line="240" w:lineRule="auto"/>
              <w:jc w:val="right"/>
              <w:rPr>
                <w:rFonts w:eastAsia="Times New Roman" w:cs="Calibri"/>
                <w:sz w:val="20"/>
                <w:szCs w:val="20"/>
              </w:rPr>
            </w:pPr>
            <w:r>
              <w:rPr>
                <w:rFonts w:eastAsia="Times New Roman" w:cs="Calibri"/>
                <w:sz w:val="20"/>
                <w:szCs w:val="20"/>
                <w:lang w:val="en-US"/>
              </w:rPr>
              <w:t>6</w:t>
            </w:r>
            <w:r w:rsidRPr="00B51B7E">
              <w:rPr>
                <w:rFonts w:eastAsia="Times New Roman" w:cs="Calibri"/>
                <w:sz w:val="20"/>
                <w:szCs w:val="20"/>
              </w:rPr>
              <w:t>,</w:t>
            </w:r>
            <w:r w:rsidR="001B0E54">
              <w:rPr>
                <w:rFonts w:eastAsia="Times New Roman" w:cs="Calibri"/>
                <w:sz w:val="20"/>
                <w:szCs w:val="20"/>
                <w:lang w:val="en-US"/>
              </w:rPr>
              <w:t>1</w:t>
            </w:r>
            <w:r w:rsidRPr="00B51B7E">
              <w:rPr>
                <w:rFonts w:eastAsia="Times New Roman" w:cs="Calibri"/>
                <w:sz w:val="20"/>
                <w:szCs w:val="20"/>
              </w:rPr>
              <w:t>%</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rPr>
            </w:pPr>
            <w:r>
              <w:rPr>
                <w:rFonts w:eastAsia="Times New Roman" w:cs="Calibri"/>
                <w:sz w:val="20"/>
                <w:szCs w:val="20"/>
              </w:rPr>
              <w:t>5,</w:t>
            </w:r>
            <w:r>
              <w:rPr>
                <w:rFonts w:eastAsia="Times New Roman" w:cs="Calibri"/>
                <w:sz w:val="20"/>
                <w:szCs w:val="20"/>
                <w:lang w:val="en-US"/>
              </w:rPr>
              <w:t>7</w:t>
            </w:r>
            <w:r>
              <w:rPr>
                <w:rFonts w:eastAsia="Times New Roman" w:cs="Calibri"/>
                <w:sz w:val="20"/>
                <w:szCs w:val="20"/>
              </w:rPr>
              <w:t>%</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1B0E54" w:rsidP="001B0E54">
            <w:pPr>
              <w:keepNext/>
              <w:spacing w:after="0" w:line="240" w:lineRule="auto"/>
              <w:jc w:val="right"/>
              <w:rPr>
                <w:rFonts w:eastAsia="Times New Roman" w:cs="Calibri"/>
                <w:sz w:val="20"/>
                <w:szCs w:val="20"/>
              </w:rPr>
            </w:pPr>
            <w:r>
              <w:rPr>
                <w:rFonts w:eastAsia="Times New Roman" w:cs="Calibri"/>
                <w:sz w:val="20"/>
                <w:szCs w:val="20"/>
                <w:lang w:val="en-US"/>
              </w:rPr>
              <w:t>0</w:t>
            </w:r>
            <w:r w:rsidR="00BC38C9" w:rsidRPr="00B51B7E">
              <w:rPr>
                <w:rFonts w:eastAsia="Times New Roman" w:cs="Calibri"/>
                <w:sz w:val="20"/>
                <w:szCs w:val="20"/>
              </w:rPr>
              <w:t>,</w:t>
            </w:r>
            <w:r>
              <w:rPr>
                <w:rFonts w:eastAsia="Times New Roman" w:cs="Calibri"/>
                <w:sz w:val="20"/>
                <w:szCs w:val="20"/>
                <w:lang w:val="en-US"/>
              </w:rPr>
              <w:t>4</w:t>
            </w:r>
            <w:r w:rsidR="00BC38C9" w:rsidRPr="00B51B7E">
              <w:rPr>
                <w:rFonts w:eastAsia="Times New Roman" w:cs="Calibri"/>
                <w:sz w:val="20"/>
                <w:szCs w:val="20"/>
              </w:rPr>
              <w:t>%</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r w:rsidRPr="00B51B7E">
              <w:rPr>
                <w:rFonts w:eastAsia="Times New Roman" w:cs="Calibri"/>
                <w:sz w:val="20"/>
                <w:szCs w:val="20"/>
              </w:rPr>
              <w:t>Коефициент на обращаемост на активите</w:t>
            </w:r>
            <w:r w:rsidRPr="00B51B7E">
              <w:rPr>
                <w:rFonts w:eastAsia="Times New Roman" w:cs="Calibri"/>
                <w:sz w:val="20"/>
                <w:szCs w:val="20"/>
                <w:vertAlign w:val="superscript"/>
              </w:rPr>
              <w:t xml:space="preserve"> 3</w:t>
            </w:r>
          </w:p>
        </w:tc>
        <w:tc>
          <w:tcPr>
            <w:tcW w:w="1460" w:type="dxa"/>
            <w:tcBorders>
              <w:top w:val="nil"/>
              <w:left w:val="nil"/>
              <w:bottom w:val="nil"/>
              <w:right w:val="nil"/>
            </w:tcBorders>
            <w:shd w:val="clear" w:color="auto" w:fill="DCE6F1"/>
            <w:noWrap/>
            <w:vAlign w:val="bottom"/>
            <w:hideMark/>
          </w:tcPr>
          <w:p w:rsidR="00BC38C9" w:rsidRPr="00B51B7E" w:rsidRDefault="00BC38C9" w:rsidP="001B0E54">
            <w:pPr>
              <w:keepNext/>
              <w:spacing w:after="0" w:line="240" w:lineRule="auto"/>
              <w:jc w:val="right"/>
              <w:rPr>
                <w:rFonts w:eastAsia="Times New Roman" w:cs="Calibri"/>
                <w:sz w:val="20"/>
                <w:szCs w:val="20"/>
                <w:lang w:val="en-US"/>
              </w:rPr>
            </w:pPr>
            <w:r w:rsidRPr="00B51B7E">
              <w:rPr>
                <w:rFonts w:eastAsia="Times New Roman" w:cs="Calibri"/>
                <w:sz w:val="20"/>
                <w:szCs w:val="20"/>
              </w:rPr>
              <w:t>0,</w:t>
            </w:r>
            <w:r w:rsidR="001B0E54">
              <w:rPr>
                <w:rFonts w:eastAsia="Times New Roman" w:cs="Calibri"/>
                <w:sz w:val="20"/>
                <w:szCs w:val="20"/>
                <w:lang w:val="en-US"/>
              </w:rPr>
              <w:t>30</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lang w:val="en-US"/>
              </w:rPr>
            </w:pPr>
            <w:r>
              <w:rPr>
                <w:rFonts w:eastAsia="Times New Roman" w:cs="Calibri"/>
                <w:sz w:val="20"/>
                <w:szCs w:val="20"/>
              </w:rPr>
              <w:t>0,</w:t>
            </w:r>
            <w:r>
              <w:rPr>
                <w:rFonts w:eastAsia="Times New Roman" w:cs="Calibri"/>
                <w:sz w:val="20"/>
                <w:szCs w:val="20"/>
                <w:lang w:val="en-US"/>
              </w:rPr>
              <w:t>28</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BC38C9" w:rsidP="001B0E54">
            <w:pPr>
              <w:keepNext/>
              <w:spacing w:after="0" w:line="240" w:lineRule="auto"/>
              <w:jc w:val="right"/>
              <w:rPr>
                <w:rFonts w:eastAsia="Times New Roman" w:cs="Calibri"/>
                <w:sz w:val="20"/>
                <w:szCs w:val="20"/>
                <w:lang w:val="en-US"/>
              </w:rPr>
            </w:pPr>
            <w:r w:rsidRPr="00B51B7E">
              <w:rPr>
                <w:rFonts w:eastAsia="Times New Roman" w:cs="Calibri"/>
                <w:sz w:val="20"/>
                <w:szCs w:val="20"/>
              </w:rPr>
              <w:t>0,0</w:t>
            </w:r>
            <w:r w:rsidR="001B0E54">
              <w:rPr>
                <w:rFonts w:eastAsia="Times New Roman" w:cs="Calibri"/>
                <w:sz w:val="20"/>
                <w:szCs w:val="20"/>
                <w:lang w:val="en-US"/>
              </w:rPr>
              <w:t>2</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r w:rsidRPr="00B51B7E">
              <w:rPr>
                <w:rFonts w:eastAsia="Times New Roman" w:cs="Calibri"/>
                <w:sz w:val="20"/>
                <w:szCs w:val="20"/>
              </w:rPr>
              <w:t xml:space="preserve">Коефициент на текуща ликвидност  </w:t>
            </w:r>
            <w:r w:rsidRPr="00B51B7E">
              <w:rPr>
                <w:rFonts w:eastAsia="Times New Roman" w:cs="Calibri"/>
                <w:sz w:val="20"/>
                <w:szCs w:val="20"/>
                <w:vertAlign w:val="superscript"/>
              </w:rPr>
              <w:t>4</w:t>
            </w:r>
          </w:p>
        </w:tc>
        <w:tc>
          <w:tcPr>
            <w:tcW w:w="1460" w:type="dxa"/>
            <w:tcBorders>
              <w:top w:val="nil"/>
              <w:left w:val="nil"/>
              <w:bottom w:val="nil"/>
              <w:right w:val="nil"/>
            </w:tcBorders>
            <w:shd w:val="clear" w:color="auto" w:fill="DCE6F1"/>
            <w:noWrap/>
            <w:vAlign w:val="bottom"/>
            <w:hideMark/>
          </w:tcPr>
          <w:p w:rsidR="00BC38C9" w:rsidRPr="00B51B7E" w:rsidRDefault="001B0E54" w:rsidP="001B0E54">
            <w:pPr>
              <w:keepNext/>
              <w:spacing w:after="0" w:line="240" w:lineRule="auto"/>
              <w:jc w:val="right"/>
              <w:rPr>
                <w:rFonts w:eastAsia="Times New Roman" w:cs="Calibri"/>
                <w:sz w:val="20"/>
                <w:szCs w:val="20"/>
                <w:lang w:val="en-US"/>
              </w:rPr>
            </w:pPr>
            <w:r>
              <w:rPr>
                <w:rFonts w:eastAsia="Times New Roman" w:cs="Calibri"/>
                <w:sz w:val="20"/>
                <w:szCs w:val="20"/>
                <w:lang w:val="en-US"/>
              </w:rPr>
              <w:t>1</w:t>
            </w:r>
            <w:r w:rsidR="00BC38C9" w:rsidRPr="00B51B7E">
              <w:rPr>
                <w:rFonts w:eastAsia="Times New Roman" w:cs="Calibri"/>
                <w:sz w:val="20"/>
                <w:szCs w:val="20"/>
              </w:rPr>
              <w:t>,</w:t>
            </w:r>
            <w:r>
              <w:rPr>
                <w:rFonts w:eastAsia="Times New Roman" w:cs="Calibri"/>
                <w:sz w:val="20"/>
                <w:szCs w:val="20"/>
                <w:lang w:val="en-US"/>
              </w:rPr>
              <w:t>93</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lang w:val="en-US"/>
              </w:rPr>
            </w:pPr>
            <w:r>
              <w:rPr>
                <w:rFonts w:eastAsia="Times New Roman" w:cs="Calibri"/>
                <w:sz w:val="20"/>
                <w:szCs w:val="20"/>
                <w:lang w:val="en-US"/>
              </w:rPr>
              <w:t>2</w:t>
            </w:r>
            <w:r>
              <w:rPr>
                <w:rFonts w:eastAsia="Times New Roman" w:cs="Calibri"/>
                <w:sz w:val="20"/>
                <w:szCs w:val="20"/>
              </w:rPr>
              <w:t>,</w:t>
            </w:r>
            <w:r>
              <w:rPr>
                <w:rFonts w:eastAsia="Times New Roman" w:cs="Calibri"/>
                <w:sz w:val="20"/>
                <w:szCs w:val="20"/>
                <w:lang w:val="en-US"/>
              </w:rPr>
              <w:t>23</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1B0E54" w:rsidP="001B0E54">
            <w:pPr>
              <w:keepNext/>
              <w:spacing w:after="0" w:line="240" w:lineRule="auto"/>
              <w:jc w:val="right"/>
              <w:rPr>
                <w:rFonts w:eastAsia="Times New Roman" w:cs="Calibri"/>
                <w:sz w:val="20"/>
                <w:szCs w:val="20"/>
              </w:rPr>
            </w:pPr>
            <w:r>
              <w:rPr>
                <w:rFonts w:eastAsia="Times New Roman" w:cs="Calibri"/>
                <w:sz w:val="20"/>
                <w:szCs w:val="20"/>
                <w:lang w:val="en-US"/>
              </w:rPr>
              <w:t>-</w:t>
            </w:r>
            <w:r w:rsidR="00BC38C9" w:rsidRPr="00B51B7E">
              <w:rPr>
                <w:rFonts w:eastAsia="Times New Roman" w:cs="Calibri"/>
                <w:sz w:val="20"/>
                <w:szCs w:val="20"/>
              </w:rPr>
              <w:t>0,</w:t>
            </w:r>
            <w:r>
              <w:rPr>
                <w:rFonts w:eastAsia="Times New Roman" w:cs="Calibri"/>
                <w:sz w:val="20"/>
                <w:szCs w:val="20"/>
                <w:lang w:val="en-US"/>
              </w:rPr>
              <w:t>30</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r w:rsidRPr="00B51B7E">
              <w:rPr>
                <w:rFonts w:eastAsia="Times New Roman" w:cs="Calibri"/>
                <w:sz w:val="20"/>
                <w:szCs w:val="20"/>
              </w:rPr>
              <w:t xml:space="preserve">Коефициент на бърза ликвидност  </w:t>
            </w:r>
            <w:r w:rsidRPr="00B51B7E">
              <w:rPr>
                <w:rFonts w:eastAsia="Times New Roman" w:cs="Calibri"/>
                <w:sz w:val="20"/>
                <w:szCs w:val="20"/>
                <w:vertAlign w:val="superscript"/>
              </w:rPr>
              <w:t>5</w:t>
            </w:r>
            <w:r w:rsidRPr="00B51B7E">
              <w:rPr>
                <w:rFonts w:eastAsia="Times New Roman" w:cs="Calibri"/>
                <w:sz w:val="20"/>
                <w:szCs w:val="20"/>
              </w:rPr>
              <w:t xml:space="preserve"> </w:t>
            </w:r>
          </w:p>
        </w:tc>
        <w:tc>
          <w:tcPr>
            <w:tcW w:w="1460" w:type="dxa"/>
            <w:tcBorders>
              <w:top w:val="nil"/>
              <w:left w:val="nil"/>
              <w:bottom w:val="nil"/>
              <w:right w:val="nil"/>
            </w:tcBorders>
            <w:shd w:val="clear" w:color="auto" w:fill="DCE6F1"/>
            <w:noWrap/>
            <w:vAlign w:val="bottom"/>
            <w:hideMark/>
          </w:tcPr>
          <w:p w:rsidR="00BC38C9" w:rsidRPr="00B51B7E" w:rsidRDefault="00BC38C9" w:rsidP="001B0E54">
            <w:pPr>
              <w:keepNext/>
              <w:spacing w:after="0" w:line="240" w:lineRule="auto"/>
              <w:jc w:val="right"/>
              <w:rPr>
                <w:rFonts w:eastAsia="Times New Roman" w:cs="Calibri"/>
                <w:sz w:val="20"/>
                <w:szCs w:val="20"/>
                <w:lang w:val="en-US"/>
              </w:rPr>
            </w:pPr>
            <w:r w:rsidRPr="00B51B7E">
              <w:rPr>
                <w:rFonts w:eastAsia="Times New Roman" w:cs="Calibri"/>
                <w:sz w:val="20"/>
                <w:szCs w:val="20"/>
              </w:rPr>
              <w:t>1,</w:t>
            </w:r>
            <w:r w:rsidR="001B0E54">
              <w:rPr>
                <w:rFonts w:eastAsia="Times New Roman" w:cs="Calibri"/>
                <w:sz w:val="20"/>
                <w:szCs w:val="20"/>
                <w:lang w:val="en-US"/>
              </w:rPr>
              <w:t>38</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lang w:val="en-US"/>
              </w:rPr>
            </w:pPr>
            <w:r>
              <w:rPr>
                <w:rFonts w:eastAsia="Times New Roman" w:cs="Calibri"/>
                <w:sz w:val="20"/>
                <w:szCs w:val="20"/>
              </w:rPr>
              <w:t>1,</w:t>
            </w:r>
            <w:r>
              <w:rPr>
                <w:rFonts w:eastAsia="Times New Roman" w:cs="Calibri"/>
                <w:sz w:val="20"/>
                <w:szCs w:val="20"/>
                <w:lang w:val="en-US"/>
              </w:rPr>
              <w:t>48</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1B0E54" w:rsidP="001B0E54">
            <w:pPr>
              <w:keepNext/>
              <w:spacing w:after="0" w:line="240" w:lineRule="auto"/>
              <w:jc w:val="right"/>
              <w:rPr>
                <w:rFonts w:eastAsia="Times New Roman" w:cs="Calibri"/>
                <w:sz w:val="20"/>
                <w:szCs w:val="20"/>
                <w:lang w:val="en-US"/>
              </w:rPr>
            </w:pPr>
            <w:r>
              <w:rPr>
                <w:rFonts w:eastAsia="Times New Roman" w:cs="Calibri"/>
                <w:sz w:val="20"/>
                <w:szCs w:val="20"/>
                <w:lang w:val="en-US"/>
              </w:rPr>
              <w:t>-</w:t>
            </w:r>
            <w:r w:rsidR="00BC38C9" w:rsidRPr="00B51B7E">
              <w:rPr>
                <w:rFonts w:eastAsia="Times New Roman" w:cs="Calibri"/>
                <w:sz w:val="20"/>
                <w:szCs w:val="20"/>
              </w:rPr>
              <w:t>0,</w:t>
            </w:r>
            <w:r>
              <w:rPr>
                <w:rFonts w:eastAsia="Times New Roman" w:cs="Calibri"/>
                <w:sz w:val="20"/>
                <w:szCs w:val="20"/>
                <w:lang w:val="en-US"/>
              </w:rPr>
              <w:t>10</w:t>
            </w:r>
          </w:p>
        </w:tc>
      </w:tr>
      <w:tr w:rsidR="00C13AE1" w:rsidRPr="00B51B7E" w:rsidTr="00893A2E">
        <w:trPr>
          <w:trHeight w:val="398"/>
        </w:trPr>
        <w:tc>
          <w:tcPr>
            <w:tcW w:w="5755" w:type="dxa"/>
            <w:tcBorders>
              <w:top w:val="nil"/>
              <w:left w:val="nil"/>
              <w:bottom w:val="nil"/>
              <w:right w:val="nil"/>
            </w:tcBorders>
            <w:vAlign w:val="bottom"/>
            <w:hideMark/>
          </w:tcPr>
          <w:p w:rsidR="00BC38C9" w:rsidRPr="00B51B7E" w:rsidRDefault="00BC38C9" w:rsidP="000A0779">
            <w:pPr>
              <w:keepNext/>
              <w:spacing w:after="0" w:line="240" w:lineRule="auto"/>
              <w:rPr>
                <w:rFonts w:eastAsia="Times New Roman" w:cs="Calibri"/>
                <w:sz w:val="20"/>
                <w:szCs w:val="20"/>
              </w:rPr>
            </w:pPr>
            <w:r w:rsidRPr="00B51B7E">
              <w:rPr>
                <w:rFonts w:eastAsia="Times New Roman" w:cs="Calibri"/>
                <w:sz w:val="20"/>
                <w:szCs w:val="20"/>
              </w:rPr>
              <w:t xml:space="preserve">Коефициент на парична ликвидност </w:t>
            </w:r>
            <w:r w:rsidRPr="00B51B7E">
              <w:rPr>
                <w:rFonts w:eastAsia="Times New Roman" w:cs="Calibri"/>
                <w:sz w:val="20"/>
                <w:szCs w:val="20"/>
                <w:vertAlign w:val="superscript"/>
              </w:rPr>
              <w:t xml:space="preserve">6 </w:t>
            </w:r>
            <w:r w:rsidRPr="00B51B7E">
              <w:rPr>
                <w:rFonts w:eastAsia="Times New Roman" w:cs="Calibri"/>
                <w:sz w:val="20"/>
                <w:szCs w:val="20"/>
              </w:rPr>
              <w:t xml:space="preserve"> </w:t>
            </w:r>
          </w:p>
        </w:tc>
        <w:tc>
          <w:tcPr>
            <w:tcW w:w="1460" w:type="dxa"/>
            <w:tcBorders>
              <w:top w:val="nil"/>
              <w:left w:val="nil"/>
              <w:bottom w:val="nil"/>
              <w:right w:val="nil"/>
            </w:tcBorders>
            <w:shd w:val="clear" w:color="auto" w:fill="DCE6F1"/>
            <w:noWrap/>
            <w:vAlign w:val="bottom"/>
            <w:hideMark/>
          </w:tcPr>
          <w:p w:rsidR="00BC38C9" w:rsidRPr="00B51B7E" w:rsidRDefault="00BC38C9" w:rsidP="001B0E54">
            <w:pPr>
              <w:keepNext/>
              <w:spacing w:after="0" w:line="240" w:lineRule="auto"/>
              <w:jc w:val="right"/>
              <w:rPr>
                <w:rFonts w:eastAsia="Times New Roman" w:cs="Calibri"/>
                <w:sz w:val="20"/>
                <w:szCs w:val="20"/>
                <w:lang w:val="en-US"/>
              </w:rPr>
            </w:pPr>
            <w:r w:rsidRPr="00B51B7E">
              <w:rPr>
                <w:rFonts w:eastAsia="Times New Roman" w:cs="Calibri"/>
                <w:sz w:val="20"/>
                <w:szCs w:val="20"/>
              </w:rPr>
              <w:t>0,</w:t>
            </w:r>
            <w:r w:rsidRPr="00B51B7E">
              <w:rPr>
                <w:rFonts w:eastAsia="Times New Roman" w:cs="Calibri"/>
                <w:sz w:val="20"/>
                <w:szCs w:val="20"/>
                <w:lang w:val="en-US"/>
              </w:rPr>
              <w:t>0</w:t>
            </w:r>
            <w:r w:rsidR="001B0E54">
              <w:rPr>
                <w:rFonts w:eastAsia="Times New Roman" w:cs="Calibri"/>
                <w:sz w:val="20"/>
                <w:szCs w:val="20"/>
                <w:lang w:val="en-US"/>
              </w:rPr>
              <w:t>1</w:t>
            </w:r>
          </w:p>
        </w:tc>
        <w:tc>
          <w:tcPr>
            <w:tcW w:w="1451" w:type="dxa"/>
            <w:tcBorders>
              <w:top w:val="nil"/>
              <w:left w:val="nil"/>
              <w:bottom w:val="nil"/>
              <w:right w:val="nil"/>
            </w:tcBorders>
            <w:shd w:val="clear" w:color="auto" w:fill="C5D9F1"/>
            <w:noWrap/>
            <w:vAlign w:val="bottom"/>
            <w:hideMark/>
          </w:tcPr>
          <w:p w:rsidR="00BC38C9" w:rsidRPr="00B51B7E" w:rsidRDefault="00BC38C9" w:rsidP="000A0779">
            <w:pPr>
              <w:keepNext/>
              <w:spacing w:after="0" w:line="240" w:lineRule="auto"/>
              <w:jc w:val="right"/>
              <w:rPr>
                <w:rFonts w:eastAsia="Times New Roman" w:cs="Calibri"/>
                <w:sz w:val="20"/>
                <w:szCs w:val="20"/>
                <w:lang w:val="en-US"/>
              </w:rPr>
            </w:pPr>
            <w:r>
              <w:rPr>
                <w:rFonts w:eastAsia="Times New Roman" w:cs="Calibri"/>
                <w:sz w:val="20"/>
                <w:szCs w:val="20"/>
              </w:rPr>
              <w:t>0,</w:t>
            </w:r>
            <w:r>
              <w:rPr>
                <w:rFonts w:eastAsia="Times New Roman" w:cs="Calibri"/>
                <w:sz w:val="20"/>
                <w:szCs w:val="20"/>
                <w:lang w:val="en-US"/>
              </w:rPr>
              <w:t>06</w:t>
            </w:r>
          </w:p>
        </w:tc>
        <w:tc>
          <w:tcPr>
            <w:tcW w:w="988" w:type="dxa"/>
            <w:tcBorders>
              <w:top w:val="nil"/>
              <w:left w:val="nil"/>
              <w:bottom w:val="nil"/>
              <w:right w:val="nil"/>
            </w:tcBorders>
            <w:shd w:val="clear" w:color="auto" w:fill="FFFFFF"/>
          </w:tcPr>
          <w:p w:rsidR="00BC38C9" w:rsidRPr="00B51B7E" w:rsidRDefault="00BC38C9" w:rsidP="000A0779">
            <w:pPr>
              <w:keepNext/>
              <w:spacing w:after="0" w:line="240" w:lineRule="auto"/>
              <w:jc w:val="right"/>
              <w:rPr>
                <w:rFonts w:eastAsia="Times New Roman" w:cs="Calibri"/>
                <w:sz w:val="20"/>
                <w:szCs w:val="20"/>
              </w:rPr>
            </w:pPr>
          </w:p>
          <w:p w:rsidR="00BC38C9" w:rsidRPr="00B51B7E" w:rsidRDefault="00BC38C9" w:rsidP="001B0E54">
            <w:pPr>
              <w:keepNext/>
              <w:spacing w:after="0" w:line="240" w:lineRule="auto"/>
              <w:jc w:val="right"/>
              <w:rPr>
                <w:rFonts w:eastAsia="Times New Roman" w:cs="Calibri"/>
                <w:sz w:val="20"/>
                <w:szCs w:val="20"/>
                <w:lang w:val="en-US"/>
              </w:rPr>
            </w:pPr>
            <w:r>
              <w:rPr>
                <w:rFonts w:eastAsia="Times New Roman" w:cs="Calibri"/>
                <w:sz w:val="20"/>
                <w:szCs w:val="20"/>
                <w:lang w:val="en-US"/>
              </w:rPr>
              <w:t>-0,0</w:t>
            </w:r>
            <w:r w:rsidR="001B0E54">
              <w:rPr>
                <w:rFonts w:eastAsia="Times New Roman" w:cs="Calibri"/>
                <w:sz w:val="20"/>
                <w:szCs w:val="20"/>
                <w:lang w:val="en-US"/>
              </w:rPr>
              <w:t>5</w:t>
            </w:r>
          </w:p>
        </w:tc>
      </w:tr>
      <w:tr w:rsidR="00C13AE1" w:rsidRPr="00B51B7E" w:rsidTr="00893A2E">
        <w:trPr>
          <w:trHeight w:val="398"/>
        </w:trPr>
        <w:tc>
          <w:tcPr>
            <w:tcW w:w="5755" w:type="dxa"/>
            <w:tcBorders>
              <w:top w:val="nil"/>
              <w:left w:val="nil"/>
              <w:bottom w:val="double" w:sz="4" w:space="0" w:color="auto"/>
              <w:right w:val="nil"/>
            </w:tcBorders>
            <w:vAlign w:val="bottom"/>
            <w:hideMark/>
          </w:tcPr>
          <w:p w:rsidR="00BC38C9" w:rsidRPr="00B51B7E" w:rsidRDefault="00BC38C9" w:rsidP="000A0779">
            <w:pPr>
              <w:spacing w:after="0" w:line="240" w:lineRule="auto"/>
              <w:rPr>
                <w:rFonts w:eastAsia="Times New Roman" w:cs="Calibri"/>
                <w:sz w:val="20"/>
                <w:szCs w:val="20"/>
              </w:rPr>
            </w:pPr>
            <w:r w:rsidRPr="00B51B7E">
              <w:rPr>
                <w:rFonts w:eastAsia="Times New Roman" w:cs="Calibri"/>
                <w:sz w:val="20"/>
                <w:szCs w:val="20"/>
              </w:rPr>
              <w:t xml:space="preserve">Коефициент на финансова автономност </w:t>
            </w:r>
            <w:r w:rsidRPr="00B51B7E">
              <w:rPr>
                <w:rFonts w:eastAsia="Times New Roman" w:cs="Calibri"/>
                <w:sz w:val="20"/>
                <w:szCs w:val="20"/>
                <w:vertAlign w:val="superscript"/>
              </w:rPr>
              <w:t>7</w:t>
            </w:r>
          </w:p>
        </w:tc>
        <w:tc>
          <w:tcPr>
            <w:tcW w:w="1460" w:type="dxa"/>
            <w:tcBorders>
              <w:top w:val="nil"/>
              <w:left w:val="nil"/>
              <w:bottom w:val="double" w:sz="4" w:space="0" w:color="auto"/>
              <w:right w:val="nil"/>
            </w:tcBorders>
            <w:shd w:val="clear" w:color="auto" w:fill="DCE6F1"/>
            <w:noWrap/>
            <w:vAlign w:val="bottom"/>
            <w:hideMark/>
          </w:tcPr>
          <w:p w:rsidR="00BC38C9" w:rsidRPr="00B51B7E" w:rsidRDefault="001B0E54" w:rsidP="001B0E54">
            <w:pPr>
              <w:spacing w:after="0" w:line="240" w:lineRule="auto"/>
              <w:jc w:val="right"/>
              <w:rPr>
                <w:rFonts w:eastAsia="Times New Roman" w:cs="Calibri"/>
                <w:sz w:val="20"/>
                <w:szCs w:val="20"/>
                <w:lang w:val="en-US"/>
              </w:rPr>
            </w:pPr>
            <w:r>
              <w:rPr>
                <w:rFonts w:eastAsia="Times New Roman" w:cs="Calibri"/>
                <w:sz w:val="20"/>
                <w:szCs w:val="20"/>
                <w:lang w:val="en-US"/>
              </w:rPr>
              <w:t>3</w:t>
            </w:r>
            <w:r w:rsidR="00BC38C9" w:rsidRPr="00B51B7E">
              <w:rPr>
                <w:rFonts w:eastAsia="Times New Roman" w:cs="Calibri"/>
                <w:sz w:val="20"/>
                <w:szCs w:val="20"/>
              </w:rPr>
              <w:t>,</w:t>
            </w:r>
            <w:r>
              <w:rPr>
                <w:rFonts w:eastAsia="Times New Roman" w:cs="Calibri"/>
                <w:sz w:val="20"/>
                <w:szCs w:val="20"/>
                <w:lang w:val="en-US"/>
              </w:rPr>
              <w:t>22</w:t>
            </w:r>
          </w:p>
        </w:tc>
        <w:tc>
          <w:tcPr>
            <w:tcW w:w="1451" w:type="dxa"/>
            <w:tcBorders>
              <w:top w:val="nil"/>
              <w:left w:val="nil"/>
              <w:bottom w:val="double" w:sz="4" w:space="0" w:color="auto"/>
              <w:right w:val="nil"/>
            </w:tcBorders>
            <w:shd w:val="clear" w:color="auto" w:fill="C5D9F1"/>
            <w:noWrap/>
            <w:vAlign w:val="bottom"/>
            <w:hideMark/>
          </w:tcPr>
          <w:p w:rsidR="00BC38C9" w:rsidRPr="00B51B7E" w:rsidRDefault="00BC38C9" w:rsidP="000A0779">
            <w:pPr>
              <w:spacing w:after="0" w:line="240" w:lineRule="auto"/>
              <w:jc w:val="right"/>
              <w:rPr>
                <w:rFonts w:eastAsia="Times New Roman" w:cs="Calibri"/>
                <w:sz w:val="20"/>
                <w:szCs w:val="20"/>
                <w:lang w:val="en-US"/>
              </w:rPr>
            </w:pPr>
            <w:r>
              <w:rPr>
                <w:rFonts w:eastAsia="Times New Roman" w:cs="Calibri"/>
                <w:sz w:val="20"/>
                <w:szCs w:val="20"/>
              </w:rPr>
              <w:t>3,</w:t>
            </w:r>
            <w:r>
              <w:rPr>
                <w:rFonts w:eastAsia="Times New Roman" w:cs="Calibri"/>
                <w:sz w:val="20"/>
                <w:szCs w:val="20"/>
                <w:lang w:val="en-US"/>
              </w:rPr>
              <w:t>64</w:t>
            </w:r>
          </w:p>
        </w:tc>
        <w:tc>
          <w:tcPr>
            <w:tcW w:w="988" w:type="dxa"/>
            <w:tcBorders>
              <w:top w:val="nil"/>
              <w:left w:val="nil"/>
              <w:bottom w:val="double" w:sz="4" w:space="0" w:color="auto"/>
              <w:right w:val="nil"/>
            </w:tcBorders>
            <w:shd w:val="clear" w:color="auto" w:fill="FFFFFF"/>
          </w:tcPr>
          <w:p w:rsidR="00BC38C9" w:rsidRPr="00B51B7E" w:rsidRDefault="00BC38C9" w:rsidP="000A0779">
            <w:pPr>
              <w:spacing w:after="0" w:line="240" w:lineRule="auto"/>
              <w:jc w:val="right"/>
              <w:rPr>
                <w:rFonts w:eastAsia="Times New Roman" w:cs="Calibri"/>
                <w:sz w:val="20"/>
                <w:szCs w:val="20"/>
              </w:rPr>
            </w:pPr>
          </w:p>
          <w:p w:rsidR="00BC38C9" w:rsidRPr="00A0351A" w:rsidRDefault="001B0E54" w:rsidP="00133954">
            <w:pPr>
              <w:spacing w:after="0" w:line="240" w:lineRule="auto"/>
              <w:jc w:val="right"/>
              <w:rPr>
                <w:rFonts w:eastAsia="Times New Roman" w:cs="Calibri"/>
                <w:sz w:val="20"/>
                <w:szCs w:val="20"/>
              </w:rPr>
            </w:pPr>
            <w:r>
              <w:rPr>
                <w:rFonts w:eastAsia="Times New Roman" w:cs="Calibri"/>
                <w:sz w:val="20"/>
                <w:szCs w:val="20"/>
                <w:lang w:val="en-US"/>
              </w:rPr>
              <w:t>-0</w:t>
            </w:r>
            <w:r w:rsidR="00BC38C9" w:rsidRPr="00B51B7E">
              <w:rPr>
                <w:rFonts w:eastAsia="Times New Roman" w:cs="Calibri"/>
                <w:sz w:val="20"/>
                <w:szCs w:val="20"/>
              </w:rPr>
              <w:t>,</w:t>
            </w:r>
            <w:r w:rsidR="00133954">
              <w:rPr>
                <w:rFonts w:eastAsia="Times New Roman" w:cs="Calibri"/>
                <w:sz w:val="20"/>
                <w:szCs w:val="20"/>
                <w:lang w:val="en-US"/>
              </w:rPr>
              <w:t>42</w:t>
            </w:r>
          </w:p>
        </w:tc>
      </w:tr>
      <w:bookmarkEnd w:id="10"/>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1</w:t>
            </w:r>
            <w:r w:rsidRPr="00B51B7E">
              <w:rPr>
                <w:rFonts w:eastAsia="Times New Roman" w:cs="Calibri"/>
                <w:sz w:val="20"/>
                <w:szCs w:val="20"/>
              </w:rPr>
              <w:t xml:space="preserve"> Нетна печалба на годишна база/средноаритметична стойност нa собствения капитал за последните пет тримесечия</w:t>
            </w:r>
          </w:p>
        </w:tc>
      </w:tr>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2</w:t>
            </w:r>
            <w:r w:rsidRPr="00B51B7E">
              <w:rPr>
                <w:rFonts w:eastAsia="Times New Roman" w:cs="Calibri"/>
                <w:sz w:val="20"/>
                <w:szCs w:val="20"/>
              </w:rPr>
              <w:t xml:space="preserve"> Нетна печалба на годишна база/средноаритметична стойност на общите активи за последните пет тримесечия</w:t>
            </w:r>
          </w:p>
        </w:tc>
      </w:tr>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3</w:t>
            </w:r>
            <w:r w:rsidRPr="00B51B7E">
              <w:rPr>
                <w:rFonts w:eastAsia="Times New Roman" w:cs="Calibri"/>
                <w:sz w:val="20"/>
                <w:szCs w:val="20"/>
              </w:rPr>
              <w:t xml:space="preserve"> Приходи от продажби на годишна база/средноаритметична стойност на общите активи за последните пет тримесечия</w:t>
            </w:r>
          </w:p>
        </w:tc>
      </w:tr>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4</w:t>
            </w:r>
            <w:r w:rsidRPr="00B51B7E">
              <w:rPr>
                <w:rFonts w:eastAsia="Times New Roman" w:cs="Calibri"/>
                <w:sz w:val="20"/>
                <w:szCs w:val="20"/>
              </w:rPr>
              <w:t xml:space="preserve"> Текущи активи/Текущи задължения</w:t>
            </w:r>
          </w:p>
        </w:tc>
      </w:tr>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 xml:space="preserve">5 </w:t>
            </w:r>
            <w:r w:rsidRPr="00B51B7E">
              <w:rPr>
                <w:rFonts w:eastAsia="Times New Roman" w:cs="Calibri"/>
                <w:sz w:val="20"/>
                <w:szCs w:val="20"/>
              </w:rPr>
              <w:t>Вземания + Парични средства/Текущи задължения</w:t>
            </w:r>
          </w:p>
        </w:tc>
      </w:tr>
      <w:tr w:rsidR="000A0779" w:rsidRPr="00B51B7E" w:rsidTr="00893A2E">
        <w:trPr>
          <w:gridAfter w:val="1"/>
          <w:wAfter w:w="988" w:type="dxa"/>
          <w:trHeight w:val="249"/>
        </w:trPr>
        <w:tc>
          <w:tcPr>
            <w:tcW w:w="8666" w:type="dxa"/>
            <w:gridSpan w:val="3"/>
            <w:tcBorders>
              <w:top w:val="nil"/>
              <w:left w:val="nil"/>
              <w:bottom w:val="nil"/>
              <w:right w:val="nil"/>
            </w:tcBorders>
            <w:noWrap/>
            <w:vAlign w:val="bottom"/>
            <w:hideMark/>
          </w:tcPr>
          <w:p w:rsidR="000A0779" w:rsidRPr="00B51B7E" w:rsidRDefault="000A0779" w:rsidP="000A0779">
            <w:pPr>
              <w:spacing w:after="0" w:line="240" w:lineRule="auto"/>
              <w:rPr>
                <w:rFonts w:eastAsia="Times New Roman" w:cs="Calibri"/>
                <w:sz w:val="20"/>
                <w:szCs w:val="20"/>
              </w:rPr>
            </w:pPr>
            <w:r w:rsidRPr="00B51B7E">
              <w:rPr>
                <w:rFonts w:eastAsia="Times New Roman" w:cs="Calibri"/>
                <w:sz w:val="20"/>
                <w:szCs w:val="20"/>
                <w:vertAlign w:val="superscript"/>
              </w:rPr>
              <w:t xml:space="preserve">6 </w:t>
            </w:r>
            <w:r w:rsidRPr="00B51B7E">
              <w:rPr>
                <w:rFonts w:eastAsia="Times New Roman" w:cs="Calibri"/>
                <w:sz w:val="20"/>
                <w:szCs w:val="20"/>
              </w:rPr>
              <w:t>Парични средства/Текущи задължения</w:t>
            </w:r>
          </w:p>
        </w:tc>
      </w:tr>
    </w:tbl>
    <w:p w:rsidR="000A0779" w:rsidRPr="00B51B7E" w:rsidRDefault="000A0779" w:rsidP="000A0779">
      <w:pPr>
        <w:rPr>
          <w:rFonts w:eastAsia="Calibri" w:cs="Calibri"/>
          <w:b/>
          <w:color w:val="1F497D"/>
          <w:sz w:val="32"/>
          <w:szCs w:val="32"/>
        </w:rPr>
      </w:pPr>
      <w:r w:rsidRPr="00B51B7E">
        <w:rPr>
          <w:rFonts w:eastAsia="Times New Roman" w:cs="Calibri"/>
          <w:sz w:val="20"/>
          <w:szCs w:val="20"/>
          <w:vertAlign w:val="superscript"/>
        </w:rPr>
        <w:t xml:space="preserve">  7 </w:t>
      </w:r>
      <w:r w:rsidRPr="00B51B7E">
        <w:rPr>
          <w:rFonts w:eastAsia="Times New Roman" w:cs="Calibri"/>
          <w:sz w:val="20"/>
          <w:szCs w:val="20"/>
        </w:rPr>
        <w:t>Собствен капитал/Пасиви</w:t>
      </w:r>
    </w:p>
    <w:p w:rsidR="007C2219" w:rsidRDefault="007C2219" w:rsidP="0028545B">
      <w:pPr>
        <w:suppressAutoHyphens/>
        <w:autoSpaceDN w:val="0"/>
        <w:spacing w:before="40" w:after="40" w:line="240" w:lineRule="auto"/>
        <w:jc w:val="both"/>
        <w:textAlignment w:val="baseline"/>
        <w:rPr>
          <w:rFonts w:eastAsia="Calibri" w:cs="Calibri"/>
          <w:i/>
          <w:color w:val="1F497D"/>
          <w:sz w:val="24"/>
          <w:szCs w:val="24"/>
          <w:lang w:val="en-US"/>
        </w:rPr>
      </w:pPr>
    </w:p>
    <w:p w:rsidR="000A0779" w:rsidRPr="00677345" w:rsidRDefault="00DC16DF" w:rsidP="00677345">
      <w:pPr>
        <w:pStyle w:val="Heading2"/>
        <w:rPr>
          <w:rFonts w:eastAsia="Calibri" w:cs="Calibri"/>
          <w:b/>
          <w:color w:val="1F497D"/>
          <w:sz w:val="24"/>
          <w:szCs w:val="24"/>
          <w:lang w:val="en-US"/>
        </w:rPr>
      </w:pPr>
      <w:bookmarkStart w:id="11" w:name="_Toc480984579"/>
      <w:r w:rsidRPr="00677345">
        <w:rPr>
          <w:rFonts w:asciiTheme="minorHAnsi" w:eastAsia="Calibri" w:hAnsiTheme="minorHAnsi"/>
          <w:b/>
          <w:color w:val="365F91" w:themeColor="accent1" w:themeShade="BF"/>
          <w:sz w:val="24"/>
          <w:szCs w:val="24"/>
          <w:lang w:eastAsia="en-US"/>
        </w:rPr>
        <w:t>3. Нови разработки и продукти</w:t>
      </w:r>
      <w:bookmarkEnd w:id="11"/>
      <w:r w:rsidRPr="00677345">
        <w:rPr>
          <w:rFonts w:asciiTheme="minorHAnsi" w:eastAsia="Calibri" w:hAnsiTheme="minorHAnsi"/>
          <w:b/>
          <w:color w:val="365F91" w:themeColor="accent1" w:themeShade="BF"/>
          <w:sz w:val="24"/>
          <w:szCs w:val="24"/>
          <w:lang w:eastAsia="en-US"/>
        </w:rPr>
        <w:t xml:space="preserve"> </w:t>
      </w:r>
    </w:p>
    <w:p w:rsidR="00DC16DF" w:rsidRPr="00AE6DEE" w:rsidRDefault="00DC16DF" w:rsidP="00DC16DF">
      <w:pPr>
        <w:numPr>
          <w:ilvl w:val="1"/>
          <w:numId w:val="3"/>
        </w:numPr>
        <w:suppressAutoHyphens/>
        <w:autoSpaceDN w:val="0"/>
        <w:spacing w:before="40" w:after="40" w:line="240" w:lineRule="auto"/>
        <w:ind w:left="0" w:firstLine="426"/>
        <w:jc w:val="both"/>
        <w:textAlignment w:val="baseline"/>
        <w:rPr>
          <w:rFonts w:eastAsia="Calibri" w:cs="Calibri"/>
          <w:sz w:val="24"/>
          <w:szCs w:val="24"/>
        </w:rPr>
      </w:pPr>
      <w:r w:rsidRPr="002F5187">
        <w:rPr>
          <w:rFonts w:eastAsia="Calibri" w:cs="Calibri"/>
          <w:sz w:val="24"/>
          <w:szCs w:val="24"/>
          <w:lang w:eastAsia="en-US"/>
        </w:rPr>
        <w:t xml:space="preserve">Нови </w:t>
      </w:r>
      <w:r w:rsidR="000C1DA1">
        <w:rPr>
          <w:rFonts w:eastAsia="Calibri" w:cs="Calibri"/>
          <w:sz w:val="24"/>
          <w:szCs w:val="24"/>
          <w:lang w:eastAsia="en-US"/>
        </w:rPr>
        <w:t xml:space="preserve">лекарствени </w:t>
      </w:r>
      <w:r w:rsidRPr="002F5187">
        <w:rPr>
          <w:rFonts w:eastAsia="Calibri" w:cs="Calibri"/>
          <w:sz w:val="24"/>
          <w:szCs w:val="24"/>
          <w:lang w:eastAsia="en-US"/>
        </w:rPr>
        <w:t xml:space="preserve">продукти </w:t>
      </w:r>
      <w:r w:rsidRPr="002F5187">
        <w:rPr>
          <w:rFonts w:eastAsia="Calibri" w:cs="Calibri"/>
          <w:sz w:val="24"/>
          <w:szCs w:val="24"/>
        </w:rPr>
        <w:t>през</w:t>
      </w:r>
      <w:r w:rsidRPr="00CC5D38">
        <w:rPr>
          <w:rFonts w:eastAsia="Calibri" w:cs="Calibri"/>
          <w:sz w:val="24"/>
          <w:szCs w:val="24"/>
        </w:rPr>
        <w:t xml:space="preserve"> първо </w:t>
      </w:r>
      <w:r w:rsidR="000C1DA1">
        <w:rPr>
          <w:rFonts w:eastAsia="Calibri" w:cs="Calibri"/>
          <w:sz w:val="24"/>
          <w:szCs w:val="24"/>
        </w:rPr>
        <w:t>полугодие</w:t>
      </w:r>
      <w:r w:rsidR="000C1DA1" w:rsidRPr="00CC5D38">
        <w:rPr>
          <w:rFonts w:eastAsia="Calibri" w:cs="Calibri"/>
          <w:i/>
          <w:sz w:val="24"/>
          <w:szCs w:val="24"/>
        </w:rPr>
        <w:t xml:space="preserve"> </w:t>
      </w:r>
      <w:r w:rsidRPr="002F5187">
        <w:rPr>
          <w:rFonts w:eastAsia="Calibri" w:cs="Calibri"/>
          <w:sz w:val="24"/>
          <w:szCs w:val="24"/>
          <w:lang w:eastAsia="en-US"/>
        </w:rPr>
        <w:t>2017</w:t>
      </w:r>
      <w:r w:rsidRPr="00896B97">
        <w:rPr>
          <w:rFonts w:eastAsia="Calibri" w:cs="Calibri"/>
          <w:sz w:val="24"/>
          <w:szCs w:val="24"/>
          <w:lang w:eastAsia="en-US"/>
        </w:rPr>
        <w:t xml:space="preserve"> г.</w:t>
      </w:r>
    </w:p>
    <w:p w:rsidR="00BC49CA" w:rsidRPr="00AE6DEE" w:rsidRDefault="00DC16DF" w:rsidP="00893A2E">
      <w:pPr>
        <w:spacing w:before="40" w:after="40" w:line="240" w:lineRule="auto"/>
        <w:jc w:val="both"/>
        <w:rPr>
          <w:rFonts w:eastAsia="Calibri" w:cs="Calibri"/>
          <w:sz w:val="24"/>
          <w:szCs w:val="24"/>
        </w:rPr>
      </w:pPr>
      <w:r>
        <w:rPr>
          <w:rFonts w:eastAsia="Calibri" w:cs="Calibri"/>
          <w:sz w:val="24"/>
          <w:szCs w:val="24"/>
        </w:rPr>
        <w:t xml:space="preserve">Получени са разрешения за употреба за нови дестинации на продуктите  </w:t>
      </w:r>
      <w:r w:rsidRPr="00A81033">
        <w:rPr>
          <w:rFonts w:eastAsia="Calibri" w:cs="Calibri"/>
          <w:sz w:val="24"/>
          <w:szCs w:val="24"/>
          <w:lang w:val="ru-RU"/>
        </w:rPr>
        <w:t>Амлодипин таблети</w:t>
      </w:r>
      <w:r>
        <w:rPr>
          <w:rFonts w:eastAsia="Calibri" w:cs="Calibri"/>
          <w:sz w:val="24"/>
          <w:szCs w:val="24"/>
          <w:lang w:val="ru-RU"/>
        </w:rPr>
        <w:t>, Зондарон ампули</w:t>
      </w:r>
      <w:r w:rsidR="000C1DA1">
        <w:rPr>
          <w:rFonts w:eastAsia="Calibri" w:cs="Calibri"/>
          <w:sz w:val="24"/>
          <w:szCs w:val="24"/>
          <w:lang w:val="ru-RU"/>
        </w:rPr>
        <w:t>, Витамин С ампули, Допоризон маз, Силден филм. таблети,</w:t>
      </w:r>
      <w:r>
        <w:rPr>
          <w:rFonts w:eastAsia="Calibri" w:cs="Calibri"/>
          <w:sz w:val="24"/>
          <w:szCs w:val="24"/>
          <w:lang w:val="ru-RU"/>
        </w:rPr>
        <w:t xml:space="preserve"> </w:t>
      </w:r>
      <w:r w:rsidR="000C1DA1">
        <w:rPr>
          <w:rFonts w:eastAsia="Calibri" w:cs="Calibri"/>
          <w:sz w:val="24"/>
          <w:szCs w:val="24"/>
          <w:lang w:val="ru-RU"/>
        </w:rPr>
        <w:t xml:space="preserve">Талерт сироп и Талерт филм. </w:t>
      </w:r>
      <w:r w:rsidR="00B57897">
        <w:rPr>
          <w:rFonts w:eastAsia="Calibri" w:cs="Calibri"/>
          <w:sz w:val="24"/>
          <w:szCs w:val="24"/>
          <w:lang w:val="ru-RU"/>
        </w:rPr>
        <w:t>т</w:t>
      </w:r>
      <w:r w:rsidR="000C1DA1">
        <w:rPr>
          <w:rFonts w:eastAsia="Calibri" w:cs="Calibri"/>
          <w:sz w:val="24"/>
          <w:szCs w:val="24"/>
          <w:lang w:val="ru-RU"/>
        </w:rPr>
        <w:t xml:space="preserve">аблети, Метилпреднизолон, Фенобарбитал ампули, Индометацин таблети. </w:t>
      </w:r>
      <w:r w:rsidR="000C1DA1">
        <w:rPr>
          <w:rFonts w:eastAsia="Calibri" w:cs="Calibri"/>
          <w:sz w:val="24"/>
          <w:szCs w:val="24"/>
        </w:rPr>
        <w:t>В</w:t>
      </w:r>
      <w:r w:rsidRPr="00A81033">
        <w:rPr>
          <w:rFonts w:eastAsia="Calibri" w:cs="Calibri"/>
          <w:sz w:val="24"/>
          <w:szCs w:val="24"/>
        </w:rPr>
        <w:t xml:space="preserve">недрени </w:t>
      </w:r>
      <w:r w:rsidR="000C1DA1">
        <w:rPr>
          <w:rFonts w:eastAsia="Calibri" w:cs="Calibri"/>
          <w:sz w:val="24"/>
          <w:szCs w:val="24"/>
        </w:rPr>
        <w:t>са</w:t>
      </w:r>
      <w:r w:rsidRPr="00A81033">
        <w:rPr>
          <w:rFonts w:eastAsia="Calibri" w:cs="Calibri"/>
          <w:sz w:val="24"/>
          <w:szCs w:val="24"/>
          <w:lang w:val="ru-RU"/>
        </w:rPr>
        <w:t xml:space="preserve"> </w:t>
      </w:r>
      <w:r>
        <w:rPr>
          <w:rFonts w:eastAsia="Calibri" w:cs="Calibri"/>
          <w:sz w:val="24"/>
          <w:szCs w:val="24"/>
          <w:lang w:val="ru-RU"/>
        </w:rPr>
        <w:t>Аналгин капки за деца</w:t>
      </w:r>
      <w:r w:rsidR="000C1DA1">
        <w:rPr>
          <w:rFonts w:eastAsia="Calibri" w:cs="Calibri"/>
          <w:sz w:val="24"/>
          <w:szCs w:val="24"/>
          <w:lang w:val="ru-RU"/>
        </w:rPr>
        <w:t>,</w:t>
      </w:r>
      <w:r>
        <w:rPr>
          <w:rFonts w:eastAsia="Calibri" w:cs="Calibri"/>
          <w:sz w:val="24"/>
          <w:szCs w:val="24"/>
          <w:lang w:val="ru-RU"/>
        </w:rPr>
        <w:t xml:space="preserve">  Софтензиф 1.5 мг. филм таблетки с удължено освобождаване</w:t>
      </w:r>
      <w:r w:rsidR="000C1DA1">
        <w:rPr>
          <w:rFonts w:eastAsia="Calibri" w:cs="Calibri"/>
          <w:sz w:val="24"/>
          <w:szCs w:val="24"/>
          <w:lang w:val="ru-RU"/>
        </w:rPr>
        <w:t xml:space="preserve">  Деслоратидин разтвор</w:t>
      </w:r>
      <w:r w:rsidR="00BC49CA">
        <w:rPr>
          <w:rFonts w:eastAsia="Calibri" w:cs="Calibri"/>
          <w:sz w:val="24"/>
          <w:szCs w:val="24"/>
          <w:lang w:val="ru-RU"/>
        </w:rPr>
        <w:t xml:space="preserve"> </w:t>
      </w:r>
      <w:r w:rsidR="00B57897">
        <w:rPr>
          <w:rFonts w:eastAsia="Calibri" w:cs="Calibri"/>
          <w:sz w:val="24"/>
          <w:szCs w:val="24"/>
          <w:lang w:val="ru-RU"/>
        </w:rPr>
        <w:t xml:space="preserve">и </w:t>
      </w:r>
      <w:r w:rsidR="00BC49CA">
        <w:rPr>
          <w:rFonts w:eastAsia="Calibri" w:cs="Calibri"/>
          <w:sz w:val="24"/>
          <w:szCs w:val="24"/>
          <w:lang w:val="ru-RU"/>
        </w:rPr>
        <w:t>Декспантен маз</w:t>
      </w:r>
      <w:r w:rsidRPr="00A81033">
        <w:rPr>
          <w:rFonts w:eastAsia="Calibri" w:cs="Calibri"/>
          <w:sz w:val="24"/>
          <w:szCs w:val="24"/>
        </w:rPr>
        <w:t>.</w:t>
      </w:r>
      <w:r w:rsidR="00BC49CA">
        <w:rPr>
          <w:rFonts w:eastAsia="Calibri" w:cs="Calibri"/>
          <w:sz w:val="24"/>
          <w:szCs w:val="24"/>
        </w:rPr>
        <w:t xml:space="preserve"> </w:t>
      </w:r>
      <w:r w:rsidR="00BC49CA" w:rsidRPr="00AE6DEE">
        <w:rPr>
          <w:rFonts w:eastAsia="Calibri" w:cs="Calibri"/>
          <w:sz w:val="24"/>
          <w:szCs w:val="24"/>
        </w:rPr>
        <w:t xml:space="preserve">До края на </w:t>
      </w:r>
      <w:r w:rsidR="00BC49CA">
        <w:rPr>
          <w:rFonts w:eastAsia="Calibri" w:cs="Calibri"/>
          <w:sz w:val="24"/>
          <w:szCs w:val="24"/>
        </w:rPr>
        <w:t>2017</w:t>
      </w:r>
      <w:r w:rsidR="00BC49CA" w:rsidRPr="00AE6DEE">
        <w:rPr>
          <w:rFonts w:eastAsia="Calibri" w:cs="Calibri"/>
          <w:sz w:val="24"/>
          <w:szCs w:val="24"/>
        </w:rPr>
        <w:t xml:space="preserve"> година се очаква да бъдат внедрени </w:t>
      </w:r>
      <w:r w:rsidR="00BC49CA">
        <w:rPr>
          <w:rFonts w:eastAsia="Calibri" w:cs="Calibri"/>
          <w:sz w:val="24"/>
          <w:szCs w:val="24"/>
        </w:rPr>
        <w:t>3-5 нови продукта.</w:t>
      </w:r>
    </w:p>
    <w:p w:rsidR="00DC16DF" w:rsidRPr="00896B97" w:rsidRDefault="00BC49CA" w:rsidP="00DC16DF">
      <w:pPr>
        <w:pStyle w:val="ListParagraph"/>
        <w:numPr>
          <w:ilvl w:val="0"/>
          <w:numId w:val="12"/>
        </w:numPr>
        <w:spacing w:before="40" w:after="40" w:line="240" w:lineRule="auto"/>
        <w:jc w:val="both"/>
        <w:rPr>
          <w:rFonts w:cs="Calibri"/>
          <w:sz w:val="24"/>
          <w:szCs w:val="24"/>
        </w:rPr>
      </w:pPr>
      <w:r>
        <w:rPr>
          <w:rFonts w:cs="Calibri"/>
          <w:sz w:val="24"/>
          <w:szCs w:val="24"/>
        </w:rPr>
        <w:t>Нови регистрации</w:t>
      </w:r>
      <w:r w:rsidR="006E6CB4">
        <w:rPr>
          <w:rFonts w:cs="Calibri"/>
          <w:sz w:val="24"/>
          <w:szCs w:val="24"/>
        </w:rPr>
        <w:t xml:space="preserve"> и пререгистрации</w:t>
      </w:r>
      <w:r>
        <w:rPr>
          <w:rFonts w:cs="Calibri"/>
          <w:sz w:val="24"/>
          <w:szCs w:val="24"/>
        </w:rPr>
        <w:t xml:space="preserve"> </w:t>
      </w:r>
      <w:r w:rsidR="00DC16DF" w:rsidRPr="00896B97">
        <w:rPr>
          <w:rFonts w:cs="Calibri"/>
          <w:sz w:val="24"/>
          <w:szCs w:val="24"/>
        </w:rPr>
        <w:t xml:space="preserve"> </w:t>
      </w:r>
      <w:r>
        <w:rPr>
          <w:rFonts w:cs="Calibri"/>
          <w:sz w:val="24"/>
          <w:szCs w:val="24"/>
        </w:rPr>
        <w:t xml:space="preserve">през първо полугодие </w:t>
      </w:r>
      <w:r w:rsidR="00DC16DF">
        <w:rPr>
          <w:rFonts w:cs="Calibri"/>
          <w:sz w:val="24"/>
          <w:szCs w:val="24"/>
        </w:rPr>
        <w:t>2017</w:t>
      </w:r>
      <w:r w:rsidR="00BC38C9">
        <w:rPr>
          <w:rFonts w:cs="Calibri"/>
          <w:sz w:val="24"/>
          <w:szCs w:val="24"/>
        </w:rPr>
        <w:t xml:space="preserve"> </w:t>
      </w:r>
      <w:r w:rsidR="00DC16DF" w:rsidRPr="00896B97">
        <w:rPr>
          <w:rFonts w:cs="Calibri"/>
          <w:sz w:val="24"/>
          <w:szCs w:val="24"/>
        </w:rPr>
        <w:t>г.</w:t>
      </w:r>
    </w:p>
    <w:p w:rsidR="00BC38C9" w:rsidRPr="00AE6DEE" w:rsidRDefault="00BC49CA" w:rsidP="00893A2E">
      <w:pPr>
        <w:suppressAutoHyphens/>
        <w:autoSpaceDN w:val="0"/>
        <w:spacing w:before="40" w:after="40" w:line="240" w:lineRule="auto"/>
        <w:jc w:val="both"/>
        <w:textAlignment w:val="baseline"/>
        <w:rPr>
          <w:rFonts w:eastAsia="Calibri" w:cs="Calibri"/>
          <w:sz w:val="24"/>
          <w:szCs w:val="24"/>
        </w:rPr>
      </w:pPr>
      <w:r>
        <w:rPr>
          <w:rFonts w:eastAsia="Calibri" w:cs="Calibri"/>
          <w:sz w:val="24"/>
          <w:szCs w:val="24"/>
        </w:rPr>
        <w:t>Изготвена е документация за нова регистраци</w:t>
      </w:r>
      <w:r w:rsidR="006E6CB4">
        <w:rPr>
          <w:rFonts w:eastAsia="Calibri" w:cs="Calibri"/>
          <w:sz w:val="24"/>
          <w:szCs w:val="24"/>
        </w:rPr>
        <w:t>и</w:t>
      </w:r>
      <w:r>
        <w:rPr>
          <w:rFonts w:eastAsia="Calibri" w:cs="Calibri"/>
          <w:sz w:val="24"/>
          <w:szCs w:val="24"/>
        </w:rPr>
        <w:t xml:space="preserve"> по национална процедура за </w:t>
      </w:r>
      <w:r w:rsidR="006E6CB4">
        <w:rPr>
          <w:rFonts w:eastAsia="Calibri" w:cs="Calibri"/>
          <w:sz w:val="24"/>
          <w:szCs w:val="24"/>
        </w:rPr>
        <w:t>18 броя лекарствени продукти и за пререгистрации/ промени в</w:t>
      </w:r>
      <w:r w:rsidR="00957542">
        <w:rPr>
          <w:rFonts w:eastAsia="Calibri" w:cs="Calibri"/>
          <w:sz w:val="24"/>
          <w:szCs w:val="24"/>
        </w:rPr>
        <w:t xml:space="preserve"> </w:t>
      </w:r>
      <w:r w:rsidR="006E6CB4">
        <w:rPr>
          <w:rFonts w:eastAsia="Calibri" w:cs="Calibri"/>
          <w:sz w:val="24"/>
          <w:szCs w:val="24"/>
        </w:rPr>
        <w:t>РУ на 46 лекарствени продукти.</w:t>
      </w:r>
    </w:p>
    <w:p w:rsidR="00DC16DF" w:rsidRPr="00AE6DEE" w:rsidRDefault="00DC16DF" w:rsidP="00DC16DF">
      <w:pPr>
        <w:numPr>
          <w:ilvl w:val="1"/>
          <w:numId w:val="3"/>
        </w:numPr>
        <w:suppressAutoHyphens/>
        <w:autoSpaceDN w:val="0"/>
        <w:spacing w:before="40" w:after="40" w:line="240" w:lineRule="auto"/>
        <w:ind w:left="0" w:firstLine="426"/>
        <w:jc w:val="both"/>
        <w:textAlignment w:val="baseline"/>
        <w:rPr>
          <w:rFonts w:eastAsia="Calibri" w:cs="Calibri"/>
          <w:sz w:val="24"/>
          <w:szCs w:val="24"/>
        </w:rPr>
      </w:pPr>
      <w:r>
        <w:rPr>
          <w:rFonts w:eastAsia="Calibri" w:cs="Calibri"/>
          <w:sz w:val="24"/>
          <w:szCs w:val="24"/>
        </w:rPr>
        <w:t>Разработки</w:t>
      </w:r>
    </w:p>
    <w:p w:rsidR="00DC16DF" w:rsidRDefault="00DC16DF">
      <w:pPr>
        <w:suppressAutoHyphens/>
        <w:autoSpaceDN w:val="0"/>
        <w:spacing w:before="40" w:after="40" w:line="240" w:lineRule="auto"/>
        <w:jc w:val="both"/>
        <w:textAlignment w:val="baseline"/>
        <w:rPr>
          <w:rFonts w:eastAsia="Calibri" w:cs="Calibri"/>
          <w:i/>
          <w:color w:val="1F497D"/>
          <w:sz w:val="24"/>
          <w:szCs w:val="24"/>
        </w:rPr>
      </w:pPr>
      <w:r>
        <w:rPr>
          <w:rFonts w:eastAsia="Calibri" w:cs="Calibri"/>
          <w:sz w:val="24"/>
          <w:szCs w:val="24"/>
        </w:rPr>
        <w:t xml:space="preserve">В процес на трансфер, валидиране и оптимизиране са над 15 броя производствени процеси и технологии. </w:t>
      </w:r>
      <w:r w:rsidR="006E6CB4">
        <w:rPr>
          <w:rFonts w:eastAsia="Calibri" w:cs="Calibri"/>
          <w:sz w:val="24"/>
          <w:szCs w:val="24"/>
        </w:rPr>
        <w:t>Извършва се фармацевтично разработване на над 25 нови лекарствени продукти и хранителни добавки.</w:t>
      </w:r>
    </w:p>
    <w:p w:rsidR="0018411E" w:rsidRDefault="0018411E" w:rsidP="0018411E">
      <w:pPr>
        <w:widowControl w:val="0"/>
        <w:autoSpaceDE w:val="0"/>
        <w:autoSpaceDN w:val="0"/>
        <w:adjustRightInd w:val="0"/>
        <w:spacing w:after="0" w:line="240" w:lineRule="auto"/>
        <w:jc w:val="both"/>
        <w:rPr>
          <w:rFonts w:asciiTheme="minorHAnsi" w:eastAsiaTheme="minorEastAsia" w:hAnsiTheme="minorHAnsi"/>
          <w:sz w:val="24"/>
          <w:szCs w:val="24"/>
        </w:rPr>
      </w:pPr>
    </w:p>
    <w:p w:rsidR="00F80195" w:rsidRPr="00953D60" w:rsidRDefault="00DC16DF" w:rsidP="00F80195">
      <w:pPr>
        <w:pStyle w:val="Heading2"/>
        <w:rPr>
          <w:rFonts w:asciiTheme="minorHAnsi" w:hAnsiTheme="minorHAnsi"/>
          <w:b/>
          <w:color w:val="2D2B2B"/>
          <w:sz w:val="24"/>
          <w:szCs w:val="24"/>
          <w:shd w:val="clear" w:color="auto" w:fill="FFFFFF"/>
        </w:rPr>
      </w:pPr>
      <w:bookmarkStart w:id="12" w:name="_Toc480984580"/>
      <w:r>
        <w:rPr>
          <w:rFonts w:asciiTheme="minorHAnsi" w:eastAsiaTheme="minorEastAsia" w:hAnsiTheme="minorHAnsi" w:cstheme="minorHAnsi"/>
          <w:b/>
          <w:color w:val="365F91" w:themeColor="accent1" w:themeShade="BF"/>
          <w:sz w:val="24"/>
          <w:szCs w:val="24"/>
        </w:rPr>
        <w:t>4</w:t>
      </w:r>
      <w:r w:rsidR="00F80195" w:rsidRPr="001B413B">
        <w:rPr>
          <w:rFonts w:asciiTheme="minorHAnsi" w:eastAsiaTheme="minorEastAsia" w:hAnsiTheme="minorHAnsi" w:cstheme="minorHAnsi"/>
          <w:b/>
          <w:color w:val="365F91" w:themeColor="accent1" w:themeShade="BF"/>
          <w:sz w:val="24"/>
          <w:szCs w:val="24"/>
        </w:rPr>
        <w:t xml:space="preserve">. </w:t>
      </w:r>
      <w:r w:rsidR="00F80195">
        <w:rPr>
          <w:rFonts w:asciiTheme="minorHAnsi" w:eastAsiaTheme="minorEastAsia" w:hAnsiTheme="minorHAnsi" w:cstheme="minorHAnsi"/>
          <w:b/>
          <w:color w:val="365F91" w:themeColor="accent1" w:themeShade="BF"/>
          <w:sz w:val="24"/>
          <w:szCs w:val="24"/>
        </w:rPr>
        <w:t>Значителни събития</w:t>
      </w:r>
      <w:r w:rsidR="00F80195">
        <w:rPr>
          <w:rFonts w:asciiTheme="minorHAnsi" w:eastAsiaTheme="minorEastAsia" w:hAnsiTheme="minorHAnsi" w:cstheme="minorHAnsi"/>
          <w:b/>
          <w:color w:val="365F91" w:themeColor="accent1" w:themeShade="BF"/>
          <w:sz w:val="24"/>
          <w:szCs w:val="24"/>
          <w:lang w:val="en-US"/>
        </w:rPr>
        <w:t xml:space="preserve"> през първо </w:t>
      </w:r>
      <w:r w:rsidR="00216D2C">
        <w:rPr>
          <w:rFonts w:asciiTheme="minorHAnsi" w:eastAsiaTheme="minorEastAsia" w:hAnsiTheme="minorHAnsi" w:cstheme="minorHAnsi"/>
          <w:b/>
          <w:color w:val="365F91" w:themeColor="accent1" w:themeShade="BF"/>
          <w:sz w:val="24"/>
          <w:szCs w:val="24"/>
        </w:rPr>
        <w:t>полугодие</w:t>
      </w:r>
      <w:r w:rsidR="00216D2C">
        <w:rPr>
          <w:rFonts w:asciiTheme="minorHAnsi" w:eastAsiaTheme="minorEastAsia" w:hAnsiTheme="minorHAnsi" w:cstheme="minorHAnsi"/>
          <w:b/>
          <w:color w:val="365F91" w:themeColor="accent1" w:themeShade="BF"/>
          <w:sz w:val="24"/>
          <w:szCs w:val="24"/>
          <w:lang w:val="en-US"/>
        </w:rPr>
        <w:t xml:space="preserve"> </w:t>
      </w:r>
      <w:r w:rsidR="00F80195">
        <w:rPr>
          <w:rFonts w:asciiTheme="minorHAnsi" w:eastAsiaTheme="minorEastAsia" w:hAnsiTheme="minorHAnsi" w:cstheme="minorHAnsi"/>
          <w:b/>
          <w:color w:val="365F91" w:themeColor="accent1" w:themeShade="BF"/>
          <w:sz w:val="24"/>
          <w:szCs w:val="24"/>
          <w:lang w:val="en-US"/>
        </w:rPr>
        <w:t>2017 г</w:t>
      </w:r>
      <w:r w:rsidR="00F80195">
        <w:rPr>
          <w:rFonts w:asciiTheme="minorHAnsi" w:eastAsiaTheme="minorEastAsia" w:hAnsiTheme="minorHAnsi" w:cstheme="minorHAnsi"/>
          <w:b/>
          <w:color w:val="365F91" w:themeColor="accent1" w:themeShade="BF"/>
          <w:sz w:val="24"/>
          <w:szCs w:val="24"/>
        </w:rPr>
        <w:t>одина и до публикуване на междинния доклад за дейността</w:t>
      </w:r>
      <w:bookmarkEnd w:id="12"/>
    </w:p>
    <w:p w:rsidR="005A2F33" w:rsidRPr="00BC38C9" w:rsidRDefault="005A2F33" w:rsidP="00893A2E">
      <w:pPr>
        <w:widowControl w:val="0"/>
        <w:numPr>
          <w:ilvl w:val="0"/>
          <w:numId w:val="50"/>
        </w:numPr>
        <w:autoSpaceDE w:val="0"/>
        <w:adjustRightInd w:val="0"/>
        <w:spacing w:after="0" w:line="240" w:lineRule="auto"/>
        <w:jc w:val="both"/>
        <w:rPr>
          <w:rFonts w:asciiTheme="minorHAnsi" w:eastAsia="Times New Roman" w:hAnsiTheme="minorHAnsi"/>
          <w:color w:val="000000"/>
          <w:sz w:val="24"/>
          <w:szCs w:val="24"/>
          <w:lang w:eastAsia="en-US"/>
        </w:rPr>
      </w:pPr>
      <w:r w:rsidRPr="00BC38C9">
        <w:rPr>
          <w:rFonts w:asciiTheme="minorHAnsi" w:eastAsia="Times New Roman" w:hAnsiTheme="minorHAnsi"/>
          <w:color w:val="000000"/>
          <w:sz w:val="24"/>
          <w:szCs w:val="24"/>
          <w:lang w:eastAsia="en-US"/>
        </w:rPr>
        <w:t>На 05.01.2017 г</w:t>
      </w:r>
      <w:r w:rsidRPr="001B0E54">
        <w:rPr>
          <w:rFonts w:asciiTheme="minorHAnsi" w:eastAsia="Times New Roman" w:hAnsiTheme="minorHAnsi"/>
          <w:color w:val="000000"/>
          <w:sz w:val="24"/>
          <w:szCs w:val="24"/>
          <w:lang w:val="en-US" w:eastAsia="en-US"/>
        </w:rPr>
        <w:t>.</w:t>
      </w:r>
      <w:r w:rsidRPr="001B0E54">
        <w:rPr>
          <w:rFonts w:asciiTheme="minorHAnsi" w:eastAsia="Times New Roman" w:hAnsiTheme="minorHAnsi"/>
          <w:color w:val="000000"/>
          <w:sz w:val="24"/>
          <w:szCs w:val="24"/>
          <w:lang w:eastAsia="en-US"/>
        </w:rPr>
        <w:t xml:space="preserve"> в САЩ </w:t>
      </w:r>
      <w:r w:rsidRPr="00FC04C8">
        <w:rPr>
          <w:rFonts w:asciiTheme="minorHAnsi" w:eastAsia="Times New Roman" w:hAnsiTheme="minorHAnsi"/>
          <w:color w:val="000000"/>
          <w:sz w:val="24"/>
          <w:szCs w:val="24"/>
          <w:lang w:eastAsia="en-US"/>
        </w:rPr>
        <w:t>е обявено споразумение за сливане между Ачийв лайф сайънс Инк, дружество, в което Софарма АД притежава 4.7% от капитала и Онко Дженекс Фармасютикълс Инк, според което Онко Дженекс Фармасютикълс Инк ще придобие  Ачийв лайф сайънс Инк чрез транзакция на всич</w:t>
      </w:r>
      <w:r w:rsidRPr="006549E0">
        <w:rPr>
          <w:rFonts w:asciiTheme="minorHAnsi" w:eastAsia="Times New Roman" w:hAnsiTheme="minorHAnsi"/>
          <w:color w:val="000000"/>
          <w:sz w:val="24"/>
          <w:szCs w:val="24"/>
          <w:lang w:eastAsia="en-US"/>
        </w:rPr>
        <w:t xml:space="preserve">ки наличности (all – stock </w:t>
      </w:r>
      <w:r w:rsidRPr="008659B5">
        <w:rPr>
          <w:rFonts w:asciiTheme="minorHAnsi" w:eastAsia="Times New Roman" w:hAnsiTheme="minorHAnsi"/>
          <w:color w:val="000000"/>
          <w:sz w:val="24"/>
          <w:szCs w:val="24"/>
          <w:lang w:val="en-US" w:eastAsia="en-US"/>
        </w:rPr>
        <w:t>transaction)</w:t>
      </w:r>
      <w:r w:rsidRPr="001056B3">
        <w:rPr>
          <w:rFonts w:asciiTheme="minorHAnsi" w:eastAsia="Times New Roman" w:hAnsiTheme="minorHAnsi"/>
          <w:color w:val="000000"/>
          <w:sz w:val="24"/>
          <w:szCs w:val="24"/>
          <w:lang w:eastAsia="en-US"/>
        </w:rPr>
        <w:t>.</w:t>
      </w:r>
      <w:r w:rsidRPr="001056B3">
        <w:rPr>
          <w:rFonts w:asciiTheme="minorHAnsi" w:eastAsia="Times New Roman" w:hAnsiTheme="minorHAnsi"/>
          <w:color w:val="000000"/>
          <w:sz w:val="24"/>
          <w:szCs w:val="24"/>
          <w:lang w:val="en-US" w:eastAsia="en-US"/>
        </w:rPr>
        <w:t xml:space="preserve"> </w:t>
      </w:r>
      <w:r w:rsidRPr="001056B3">
        <w:rPr>
          <w:rFonts w:asciiTheme="minorHAnsi" w:eastAsia="Times New Roman" w:hAnsiTheme="minorHAnsi"/>
          <w:color w:val="000000"/>
          <w:sz w:val="24"/>
          <w:szCs w:val="24"/>
          <w:lang w:eastAsia="en-US"/>
        </w:rPr>
        <w:t>При завършване на предлаганото сливане се очаква, притежателите на дялове от Ачийв лайф сайънс Инк да владеят 75 % от неизплатените акции на комбинираното дружество, а текущите акционери на Онко Дженекс Фармасютикълс Инк ще притежават останалите 25 % от неизплатените акции. Споразумението е внесено за разглеждане в Комисията за ценни книжа и борси</w:t>
      </w:r>
      <w:r w:rsidRPr="001056B3">
        <w:rPr>
          <w:rFonts w:asciiTheme="minorHAnsi" w:eastAsia="Times New Roman" w:hAnsiTheme="minorHAnsi"/>
          <w:color w:val="000000"/>
          <w:sz w:val="24"/>
          <w:szCs w:val="24"/>
          <w:lang w:val="en-US" w:eastAsia="en-US"/>
        </w:rPr>
        <w:t xml:space="preserve"> (</w:t>
      </w:r>
      <w:r w:rsidRPr="001056B3">
        <w:rPr>
          <w:rFonts w:asciiTheme="minorHAnsi" w:eastAsia="Times New Roman" w:hAnsiTheme="minorHAnsi"/>
          <w:color w:val="000000"/>
          <w:sz w:val="24"/>
          <w:szCs w:val="24"/>
          <w:lang w:eastAsia="en-US"/>
        </w:rPr>
        <w:t>SEC</w:t>
      </w:r>
      <w:r w:rsidRPr="001056B3">
        <w:rPr>
          <w:rFonts w:asciiTheme="minorHAnsi" w:eastAsia="Times New Roman" w:hAnsiTheme="minorHAnsi"/>
          <w:color w:val="000000"/>
          <w:sz w:val="24"/>
          <w:szCs w:val="24"/>
          <w:lang w:val="en-US" w:eastAsia="en-US"/>
        </w:rPr>
        <w:t>).</w:t>
      </w:r>
      <w:r w:rsidRPr="001056B3">
        <w:rPr>
          <w:rFonts w:asciiTheme="minorHAnsi" w:eastAsia="Times New Roman" w:hAnsiTheme="minorHAnsi"/>
          <w:color w:val="000000"/>
          <w:sz w:val="24"/>
          <w:szCs w:val="24"/>
          <w:lang w:eastAsia="en-US"/>
        </w:rPr>
        <w:t xml:space="preserve"> След нейното одобрение комбинираното дружество ще се преименува на Ачийв лайф сайънсис Инк и ще бъде вписвано </w:t>
      </w:r>
      <w:r w:rsidRPr="001056B3">
        <w:rPr>
          <w:rFonts w:asciiTheme="minorHAnsi" w:eastAsia="Times New Roman" w:hAnsiTheme="minorHAnsi"/>
          <w:color w:val="000000"/>
          <w:sz w:val="24"/>
          <w:szCs w:val="24"/>
          <w:lang w:val="en-US" w:eastAsia="en-US"/>
        </w:rPr>
        <w:t xml:space="preserve"> </w:t>
      </w:r>
      <w:r w:rsidRPr="001056B3">
        <w:rPr>
          <w:rFonts w:asciiTheme="minorHAnsi" w:eastAsia="Times New Roman" w:hAnsiTheme="minorHAnsi"/>
          <w:color w:val="000000"/>
          <w:sz w:val="24"/>
          <w:szCs w:val="24"/>
          <w:lang w:eastAsia="en-US"/>
        </w:rPr>
        <w:t>в NASDAQ.</w:t>
      </w:r>
      <w:r w:rsidRPr="001056B3">
        <w:rPr>
          <w:rFonts w:asciiTheme="minorHAnsi" w:eastAsia="Times New Roman" w:hAnsiTheme="minorHAnsi"/>
          <w:color w:val="000000"/>
          <w:sz w:val="24"/>
          <w:szCs w:val="24"/>
          <w:lang w:val="en-US" w:eastAsia="en-US"/>
        </w:rPr>
        <w:t xml:space="preserve"> </w:t>
      </w:r>
      <w:r w:rsidRPr="001056B3">
        <w:rPr>
          <w:rFonts w:asciiTheme="minorHAnsi" w:eastAsia="Times New Roman" w:hAnsiTheme="minorHAnsi"/>
          <w:color w:val="000000"/>
          <w:sz w:val="24"/>
          <w:szCs w:val="24"/>
          <w:lang w:eastAsia="en-US"/>
        </w:rPr>
        <w:t>В резултат на цитираните  действия Софарма АД ще притежава 423</w:t>
      </w:r>
      <w:r w:rsidRPr="001056B3">
        <w:rPr>
          <w:rFonts w:asciiTheme="minorHAnsi" w:eastAsia="Times New Roman" w:hAnsiTheme="minorHAnsi"/>
          <w:color w:val="000000"/>
          <w:sz w:val="24"/>
          <w:szCs w:val="24"/>
          <w:lang w:val="en-US" w:eastAsia="en-US"/>
        </w:rPr>
        <w:t xml:space="preserve"> </w:t>
      </w:r>
      <w:r w:rsidRPr="001056B3">
        <w:rPr>
          <w:rFonts w:asciiTheme="minorHAnsi" w:eastAsia="Times New Roman" w:hAnsiTheme="minorHAnsi"/>
          <w:color w:val="000000"/>
          <w:sz w:val="24"/>
          <w:szCs w:val="24"/>
          <w:lang w:eastAsia="en-US"/>
        </w:rPr>
        <w:t>000 броя акции (3,525%) от капитала на Ачийв лайф сайансис Инк</w:t>
      </w:r>
      <w:r w:rsidRPr="001056B3">
        <w:rPr>
          <w:rFonts w:asciiTheme="minorHAnsi" w:eastAsia="Times New Roman" w:hAnsiTheme="minorHAnsi"/>
          <w:color w:val="000000"/>
          <w:sz w:val="24"/>
          <w:szCs w:val="24"/>
          <w:lang w:val="en-US" w:eastAsia="en-US"/>
        </w:rPr>
        <w:t>.</w:t>
      </w:r>
    </w:p>
    <w:p w:rsidR="005A2F33" w:rsidRPr="005A2F33" w:rsidRDefault="005A2F33" w:rsidP="005A2F33">
      <w:pPr>
        <w:widowControl w:val="0"/>
        <w:numPr>
          <w:ilvl w:val="0"/>
          <w:numId w:val="50"/>
        </w:numPr>
        <w:autoSpaceDE w:val="0"/>
        <w:adjustRightInd w:val="0"/>
        <w:spacing w:after="0" w:line="240" w:lineRule="auto"/>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На 05.04.2017 г. Софарма АД получи решение на КЗК, че придобиването от страна на Софарма АД на акции от капитала на Доверие обединен холдинг АД на този етап не подлежи на предварително уведомление по чл. 24, ал. 2 от ЗЗК. Софарма АД ще предприеме съответните действия при достигането на установените прагове изискващи отправяне на търгово предложение към останалите акционери на Доверие обединен холдинг АД.</w:t>
      </w:r>
    </w:p>
    <w:p w:rsidR="005A2F33" w:rsidRPr="005A2F33" w:rsidRDefault="005A2F33" w:rsidP="005A2F33">
      <w:pPr>
        <w:widowControl w:val="0"/>
        <w:numPr>
          <w:ilvl w:val="0"/>
          <w:numId w:val="50"/>
        </w:numPr>
        <w:autoSpaceDE w:val="0"/>
        <w:adjustRightInd w:val="0"/>
        <w:spacing w:after="0" w:line="240" w:lineRule="auto"/>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 xml:space="preserve">На 18.04.2016 г. Софарма АД уведомява, че Дружеството придоби 51% от капитала на молдовския дистрибутор на лекарствени продукти РАП Фарма Интернешънъл след като получи разрешение от Молдовската Комисия за защита на </w:t>
      </w:r>
      <w:r w:rsidRPr="005A2F33">
        <w:rPr>
          <w:rFonts w:asciiTheme="minorHAnsi" w:eastAsia="Times New Roman" w:hAnsiTheme="minorHAnsi"/>
          <w:color w:val="000000"/>
          <w:sz w:val="24"/>
          <w:szCs w:val="24"/>
          <w:lang w:eastAsia="en-US"/>
        </w:rPr>
        <w:lastRenderedPageBreak/>
        <w:t>конкуренцията да реализира придобиването</w:t>
      </w:r>
    </w:p>
    <w:p w:rsidR="005A2F33" w:rsidRPr="005A2F33" w:rsidRDefault="005A2F33" w:rsidP="005A2F33">
      <w:pPr>
        <w:widowControl w:val="0"/>
        <w:numPr>
          <w:ilvl w:val="0"/>
          <w:numId w:val="50"/>
        </w:numPr>
        <w:autoSpaceDE w:val="0"/>
        <w:adjustRightInd w:val="0"/>
        <w:spacing w:after="0" w:line="240" w:lineRule="auto"/>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На 24</w:t>
      </w:r>
      <w:r w:rsidRPr="005A2F33">
        <w:rPr>
          <w:rFonts w:asciiTheme="minorHAnsi" w:eastAsia="Times New Roman" w:hAnsiTheme="minorHAnsi"/>
          <w:color w:val="000000"/>
          <w:sz w:val="24"/>
          <w:szCs w:val="24"/>
          <w:lang w:val="en-US" w:eastAsia="en-US"/>
        </w:rPr>
        <w:t>.</w:t>
      </w:r>
      <w:r w:rsidRPr="005A2F33">
        <w:rPr>
          <w:rFonts w:asciiTheme="minorHAnsi" w:eastAsia="Times New Roman" w:hAnsiTheme="minorHAnsi"/>
          <w:color w:val="000000"/>
          <w:sz w:val="24"/>
          <w:szCs w:val="24"/>
          <w:lang w:eastAsia="en-US"/>
        </w:rPr>
        <w:t>04</w:t>
      </w:r>
      <w:r w:rsidRPr="005A2F33">
        <w:rPr>
          <w:rFonts w:asciiTheme="minorHAnsi" w:eastAsia="Times New Roman" w:hAnsiTheme="minorHAnsi"/>
          <w:color w:val="000000"/>
          <w:sz w:val="24"/>
          <w:szCs w:val="24"/>
          <w:lang w:val="en-US" w:eastAsia="en-US"/>
        </w:rPr>
        <w:t>.</w:t>
      </w:r>
      <w:r w:rsidRPr="005A2F33">
        <w:rPr>
          <w:rFonts w:asciiTheme="minorHAnsi" w:eastAsia="Times New Roman" w:hAnsiTheme="minorHAnsi"/>
          <w:color w:val="000000"/>
          <w:sz w:val="24"/>
          <w:szCs w:val="24"/>
          <w:lang w:eastAsia="en-US"/>
        </w:rPr>
        <w:t>2017</w:t>
      </w:r>
      <w:r w:rsidRPr="005A2F33">
        <w:rPr>
          <w:rFonts w:asciiTheme="minorHAnsi" w:eastAsia="Times New Roman" w:hAnsiTheme="minorHAnsi"/>
          <w:color w:val="000000"/>
          <w:sz w:val="24"/>
          <w:szCs w:val="24"/>
          <w:lang w:val="en-US" w:eastAsia="en-US"/>
        </w:rPr>
        <w:t xml:space="preserve"> </w:t>
      </w:r>
      <w:r w:rsidRPr="005A2F33">
        <w:rPr>
          <w:rFonts w:asciiTheme="minorHAnsi" w:eastAsia="Times New Roman" w:hAnsiTheme="minorHAnsi"/>
          <w:color w:val="000000"/>
          <w:sz w:val="24"/>
          <w:szCs w:val="24"/>
          <w:lang w:eastAsia="en-US"/>
        </w:rPr>
        <w:t xml:space="preserve">г. се проведе Извънредно общо събрание на акционерите на Софарма АД и взеха следните решения: </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val="en-US" w:eastAsia="en-US"/>
        </w:rPr>
        <w:t xml:space="preserve">1. </w:t>
      </w:r>
      <w:r w:rsidRPr="005A2F33">
        <w:rPr>
          <w:rFonts w:asciiTheme="minorHAnsi" w:eastAsia="Times New Roman" w:hAnsiTheme="minorHAnsi"/>
          <w:color w:val="000000"/>
          <w:sz w:val="24"/>
          <w:szCs w:val="24"/>
          <w:lang w:eastAsia="en-US"/>
        </w:rPr>
        <w:t>Одобри се Мотивирания доклад, изготвен от Съвета на директорите за сделки, попадащи в приложното поле на чл.114, ал.1 от ЗППЦК, по които страна е публичното дружество Софарма АД;</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2. Съветът на директорите бе овластен относно сключването на сделка от приложното поле на чл.114, ал.1, т.1, буква „б“ от ЗППЦК съгласно Раздел Първи на Мотивирания доклад за предоставяне от страна на Софарма АД на обезпечение под формата на ипотека върху собствен на дружеството недвижим имот и особен залог на машини и съоръжения, за обезпечаване вземанията на финансова институция /Райфайзенбанк България ЕАД/ по договор за инвестиционен кредит с дъщерното дружество Софарма Трейдинг АД като кредитополучател;</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3. Съветът на директорите бе овластен относно сключването на сделка от приложното поле на чл.114, ал.1, т.2 от ЗППЦК съгласно Раздел Втори на Мотивирания доклад за встъпване на Софарма АД като съдлъжник при условията на солидарност по договор за инвестиционен кредит между финансова институция /Райфайзенбанк България ЕАД/ и дъщерното дружество Софарма Трейдинг АД като кредитополучател;</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4. Съветът на директорите бе овластен относно сключването на сделка от приложното поле на чл.114, ал.1, т. 2 от ЗППЦК съгласно Раздел Трети на Мотивирания доклад за встъпването на Софарма АД като съдлъжник при условията на солидарност по договор за оборотен кредит между финансова институция /Банка ДСК ЕАД/ и дъщерното дружество Софарма Трейдинг АД като кредитополучател;</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5. Съветът на директорите бе овластен относно сключването на сделка от приложното поле на чл.114, ал.1, т.2 от ЗППЦК съгласно Раздел Четвърти на Мотивирания доклад за встъпване на Софарма АД като съдлъжник при условията на солидарност по договор за инвестиционен кредит между финансова институция /Сосиете Женерал Експресбанк АД/ и дъщерното дружество Софарма Трейдинг АД като кредитополучател;</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6. Съветът на директорите бе овластен относно сключването на сделка от приложното поле на чл.114, ал.1, т.1, буква „б“  от ЗППЦК съгласно Раздел Пети на Мотивирания доклад - договор за наем на недвижим имот – офис, между Софарма АД като наемател и Софарма Имоти АДСИЦ като наемодател;</w:t>
      </w:r>
    </w:p>
    <w:p w:rsidR="005A2F33" w:rsidRPr="005A2F33" w:rsidRDefault="005A2F33" w:rsidP="005A2F33">
      <w:pPr>
        <w:widowControl w:val="0"/>
        <w:autoSpaceDE w:val="0"/>
        <w:adjustRightInd w:val="0"/>
        <w:spacing w:after="0" w:line="240" w:lineRule="auto"/>
        <w:ind w:left="709"/>
        <w:jc w:val="both"/>
        <w:rPr>
          <w:rFonts w:asciiTheme="minorHAnsi" w:eastAsia="Times New Roman" w:hAnsiTheme="minorHAnsi"/>
          <w:color w:val="000000"/>
          <w:sz w:val="24"/>
          <w:szCs w:val="24"/>
          <w:lang w:eastAsia="en-US"/>
        </w:rPr>
      </w:pPr>
      <w:r w:rsidRPr="005A2F33">
        <w:rPr>
          <w:rFonts w:asciiTheme="minorHAnsi" w:eastAsia="Times New Roman" w:hAnsiTheme="minorHAnsi"/>
          <w:color w:val="000000"/>
          <w:sz w:val="24"/>
          <w:szCs w:val="24"/>
          <w:lang w:eastAsia="en-US"/>
        </w:rPr>
        <w:t>7. Съветът на директорите бе овластен относно сключването на сделка от приложното поле на чл. 114, ал.1, т.1, буква „б“ във връзка с ал.9, т.1 от същата разпоредба на ЗППЦК съгласно условията и параметрите, посочени в Раздел Шести на Мотивирания доклад - договор за покупко-продажба на лекарствени продукти с дъщерното дружество Софарма Казахстан АД;</w:t>
      </w:r>
    </w:p>
    <w:p w:rsidR="00614E40" w:rsidRPr="00140103" w:rsidRDefault="00614E40" w:rsidP="00614E40">
      <w:pPr>
        <w:pStyle w:val="NormalWeb"/>
        <w:numPr>
          <w:ilvl w:val="0"/>
          <w:numId w:val="50"/>
        </w:numPr>
        <w:spacing w:before="0" w:beforeAutospacing="0" w:after="0" w:afterAutospacing="0"/>
        <w:jc w:val="both"/>
        <w:rPr>
          <w:rFonts w:ascii="Calibri" w:hAnsi="Calibri"/>
          <w:spacing w:val="-1"/>
          <w:sz w:val="24"/>
          <w:szCs w:val="24"/>
          <w:lang w:val="ru-RU"/>
        </w:rPr>
      </w:pPr>
      <w:r w:rsidRPr="00140103">
        <w:rPr>
          <w:rFonts w:ascii="Calibri" w:hAnsi="Calibri"/>
          <w:sz w:val="24"/>
          <w:szCs w:val="24"/>
          <w:lang w:val="ru-RU"/>
        </w:rPr>
        <w:t xml:space="preserve">На </w:t>
      </w:r>
      <w:r w:rsidRPr="00140103">
        <w:rPr>
          <w:rFonts w:ascii="Calibri" w:hAnsi="Calibri"/>
          <w:sz w:val="24"/>
          <w:szCs w:val="24"/>
        </w:rPr>
        <w:t>25.04.2017 г</w:t>
      </w:r>
      <w:r w:rsidR="00050929">
        <w:rPr>
          <w:rFonts w:ascii="Calibri" w:hAnsi="Calibri"/>
          <w:sz w:val="24"/>
          <w:szCs w:val="24"/>
        </w:rPr>
        <w:t>.</w:t>
      </w:r>
      <w:r w:rsidRPr="00140103">
        <w:rPr>
          <w:rFonts w:ascii="Calibri" w:hAnsi="Calibri"/>
          <w:sz w:val="24"/>
          <w:szCs w:val="24"/>
        </w:rPr>
        <w:t xml:space="preserve"> Софарма АД получи одобрение от Комисията за финансов надзор на Договор  за преобразуване чрез вливане и допълнително спораз</w:t>
      </w:r>
      <w:r w:rsidRPr="00140103">
        <w:rPr>
          <w:rFonts w:ascii="Calibri" w:hAnsi="Calibri"/>
          <w:sz w:val="24"/>
          <w:szCs w:val="24"/>
          <w:lang w:val="ru-RU"/>
        </w:rPr>
        <w:t xml:space="preserve">умение към него от 20.03.2017 г., подписан на </w:t>
      </w:r>
      <w:r w:rsidRPr="004F3733">
        <w:rPr>
          <w:rFonts w:ascii="Calibri" w:hAnsi="Calibri"/>
          <w:sz w:val="24"/>
          <w:szCs w:val="24"/>
          <w:lang w:val="ru-RU" w:eastAsia="en-US"/>
        </w:rPr>
        <w:t>31.0</w:t>
      </w:r>
      <w:r w:rsidRPr="004F3733">
        <w:rPr>
          <w:rFonts w:ascii="Calibri" w:hAnsi="Calibri"/>
          <w:bCs/>
          <w:sz w:val="24"/>
          <w:szCs w:val="24"/>
          <w:lang w:val="ru-RU" w:eastAsia="en-US"/>
        </w:rPr>
        <w:t>1.2017 г. между С</w:t>
      </w:r>
      <w:r w:rsidR="00957542">
        <w:rPr>
          <w:rFonts w:ascii="Calibri" w:hAnsi="Calibri"/>
          <w:bCs/>
          <w:sz w:val="24"/>
          <w:szCs w:val="24"/>
          <w:lang w:val="ru-RU" w:eastAsia="en-US"/>
        </w:rPr>
        <w:t>офарма</w:t>
      </w:r>
      <w:r w:rsidRPr="004F3733">
        <w:rPr>
          <w:rFonts w:ascii="Calibri" w:hAnsi="Calibri"/>
          <w:sz w:val="24"/>
          <w:szCs w:val="24"/>
          <w:lang w:val="ru-RU" w:eastAsia="en-US"/>
        </w:rPr>
        <w:t xml:space="preserve"> АД</w:t>
      </w:r>
      <w:r w:rsidRPr="0051072F">
        <w:rPr>
          <w:rFonts w:ascii="Calibri" w:hAnsi="Calibri"/>
          <w:sz w:val="24"/>
          <w:szCs w:val="24"/>
          <w:lang w:val="ru-RU"/>
        </w:rPr>
        <w:t xml:space="preserve"> </w:t>
      </w:r>
      <w:r w:rsidRPr="004F3733">
        <w:rPr>
          <w:rFonts w:ascii="Calibri" w:hAnsi="Calibri"/>
          <w:bCs/>
          <w:sz w:val="24"/>
          <w:szCs w:val="24"/>
          <w:lang w:val="ru-RU" w:eastAsia="en-US"/>
        </w:rPr>
        <w:t>и М</w:t>
      </w:r>
      <w:r w:rsidR="00957542">
        <w:rPr>
          <w:rFonts w:ascii="Calibri" w:hAnsi="Calibri"/>
          <w:bCs/>
          <w:sz w:val="24"/>
          <w:szCs w:val="24"/>
          <w:lang w:val="ru-RU" w:eastAsia="en-US"/>
        </w:rPr>
        <w:t>едика</w:t>
      </w:r>
      <w:r w:rsidRPr="004F3733">
        <w:rPr>
          <w:rFonts w:ascii="Calibri" w:hAnsi="Calibri"/>
          <w:bCs/>
          <w:sz w:val="24"/>
          <w:szCs w:val="24"/>
          <w:lang w:val="ru-RU" w:eastAsia="en-US"/>
        </w:rPr>
        <w:t xml:space="preserve"> А</w:t>
      </w:r>
      <w:r w:rsidRPr="0051072F">
        <w:rPr>
          <w:rFonts w:ascii="Calibri" w:hAnsi="Calibri"/>
          <w:sz w:val="24"/>
          <w:szCs w:val="24"/>
          <w:lang w:val="ru-RU"/>
        </w:rPr>
        <w:t>Д в съответствие</w:t>
      </w:r>
      <w:r w:rsidRPr="00140103">
        <w:rPr>
          <w:rFonts w:ascii="Calibri" w:hAnsi="Calibri"/>
          <w:sz w:val="24"/>
          <w:szCs w:val="24"/>
          <w:lang w:val="ru-RU"/>
        </w:rPr>
        <w:t xml:space="preserve"> с изискванията на чл. 262д и сл. от Търговския закон в резултат на </w:t>
      </w:r>
      <w:r w:rsidRPr="00140103">
        <w:rPr>
          <w:rFonts w:ascii="Calibri" w:hAnsi="Calibri"/>
          <w:sz w:val="24"/>
          <w:szCs w:val="24"/>
          <w:lang w:val="ru-RU"/>
        </w:rPr>
        <w:lastRenderedPageBreak/>
        <w:t>което цялото имущество на Медика АД ще премине към Софарма АД и последното ще стане негов правоприемник. Медика АД ще се прекра</w:t>
      </w:r>
      <w:r w:rsidRPr="00140103">
        <w:rPr>
          <w:rFonts w:ascii="Calibri" w:hAnsi="Calibri"/>
          <w:sz w:val="24"/>
          <w:szCs w:val="24"/>
        </w:rPr>
        <w:t>ти без</w:t>
      </w:r>
      <w:r w:rsidRPr="00140103">
        <w:rPr>
          <w:rFonts w:ascii="Calibri" w:hAnsi="Calibri"/>
          <w:sz w:val="24"/>
          <w:szCs w:val="24"/>
          <w:lang w:val="ru-RU"/>
        </w:rPr>
        <w:t xml:space="preserve"> ликвидация. Комисията за финансов надзор одобри също и докладите на управителните органи на двете дружества изготвени в съответствие с разпоредбите на чл. 262и от Търговския закон и докалдът на назначените проверители на участниците в преобразуването по чл. 262м от Търговския закон. В резултат на вливането всички акционери на преобразуващото се дружество Медика АД, с изключение на приемащото дружество Софарма АД, което също е акционер в преобразуващото се дружество, ще придобият акции от капитала на Софарма АД и ще станат акционери в него. Срещу всяка една своя акция от Медика АД всеки акционер на дружеството на основание </w:t>
      </w:r>
      <w:r w:rsidRPr="00140103">
        <w:rPr>
          <w:rFonts w:ascii="Calibri" w:hAnsi="Calibri"/>
          <w:spacing w:val="-1"/>
          <w:sz w:val="24"/>
          <w:szCs w:val="24"/>
          <w:lang w:val="ru-RU"/>
        </w:rPr>
        <w:t>чл. 261б, ап. 1 от Търговския</w:t>
      </w:r>
      <w:r w:rsidRPr="00140103">
        <w:rPr>
          <w:rFonts w:ascii="Calibri" w:hAnsi="Calibri"/>
          <w:sz w:val="24"/>
          <w:szCs w:val="24"/>
          <w:lang w:val="ru-RU"/>
        </w:rPr>
        <w:t xml:space="preserve"> закон ще придобие </w:t>
      </w:r>
      <w:r w:rsidRPr="00140103">
        <w:rPr>
          <w:rFonts w:ascii="Calibri" w:hAnsi="Calibri"/>
          <w:spacing w:val="-1"/>
          <w:sz w:val="24"/>
          <w:szCs w:val="24"/>
          <w:lang w:val="ru-RU"/>
        </w:rPr>
        <w:t>0.8831 от обратн</w:t>
      </w:r>
      <w:r w:rsidRPr="00140103">
        <w:rPr>
          <w:rFonts w:ascii="Calibri" w:hAnsi="Calibri"/>
          <w:spacing w:val="-1"/>
          <w:sz w:val="24"/>
          <w:szCs w:val="24"/>
        </w:rPr>
        <w:t xml:space="preserve">о изкупените </w:t>
      </w:r>
      <w:r w:rsidRPr="00140103">
        <w:rPr>
          <w:rFonts w:ascii="Calibri" w:hAnsi="Calibri"/>
          <w:sz w:val="24"/>
          <w:szCs w:val="24"/>
        </w:rPr>
        <w:t xml:space="preserve">акции от капитала на Софарма АД. </w:t>
      </w:r>
      <w:r w:rsidRPr="00140103">
        <w:rPr>
          <w:rFonts w:ascii="Calibri" w:hAnsi="Calibri"/>
          <w:spacing w:val="-1"/>
          <w:sz w:val="24"/>
          <w:szCs w:val="24"/>
          <w:lang w:val="ru-RU"/>
        </w:rPr>
        <w:t>ОСА на двете дружества</w:t>
      </w:r>
      <w:r w:rsidR="007E3B58">
        <w:rPr>
          <w:rFonts w:ascii="Calibri" w:hAnsi="Calibri"/>
          <w:spacing w:val="-1"/>
          <w:sz w:val="24"/>
          <w:szCs w:val="24"/>
          <w:lang w:val="en-US"/>
        </w:rPr>
        <w:t xml:space="preserve"> </w:t>
      </w:r>
      <w:r w:rsidR="007E3B58">
        <w:rPr>
          <w:rFonts w:ascii="Calibri" w:hAnsi="Calibri"/>
          <w:spacing w:val="-1"/>
          <w:sz w:val="24"/>
          <w:szCs w:val="24"/>
        </w:rPr>
        <w:t>одобриха преобразуването.</w:t>
      </w:r>
      <w:r w:rsidRPr="00140103">
        <w:rPr>
          <w:rFonts w:ascii="Calibri" w:hAnsi="Calibri"/>
          <w:spacing w:val="-1"/>
          <w:sz w:val="24"/>
          <w:szCs w:val="24"/>
          <w:lang w:val="ru-RU"/>
        </w:rPr>
        <w:t xml:space="preserve"> </w:t>
      </w:r>
    </w:p>
    <w:p w:rsidR="00301781" w:rsidRDefault="007634C1" w:rsidP="00050929">
      <w:pPr>
        <w:pStyle w:val="NormalWeb"/>
        <w:numPr>
          <w:ilvl w:val="0"/>
          <w:numId w:val="50"/>
        </w:numPr>
        <w:spacing w:before="0" w:beforeAutospacing="0" w:after="0" w:afterAutospacing="0"/>
        <w:jc w:val="both"/>
        <w:rPr>
          <w:rFonts w:asciiTheme="minorHAnsi" w:hAnsiTheme="minorHAnsi"/>
          <w:spacing w:val="-1"/>
          <w:sz w:val="24"/>
          <w:szCs w:val="24"/>
          <w:lang w:val="ru-RU"/>
        </w:rPr>
      </w:pPr>
      <w:r w:rsidRPr="00893A2E">
        <w:rPr>
          <w:rFonts w:asciiTheme="minorHAnsi" w:hAnsiTheme="minorHAnsi" w:cs="Calibri"/>
          <w:spacing w:val="-4"/>
          <w:sz w:val="24"/>
          <w:szCs w:val="24"/>
        </w:rPr>
        <w:t>На 02.06.2017 г. се проведе Общо събрание на акционерете на Софарма АД</w:t>
      </w:r>
      <w:r w:rsidR="00DD562B" w:rsidRPr="00893A2E">
        <w:rPr>
          <w:rFonts w:asciiTheme="minorHAnsi" w:hAnsiTheme="minorHAnsi" w:cs="Calibri"/>
          <w:spacing w:val="-4"/>
          <w:sz w:val="24"/>
          <w:szCs w:val="24"/>
        </w:rPr>
        <w:t>, където бяха приети следните решения: 1. ОСА прие</w:t>
      </w:r>
      <w:r w:rsidR="00DD562B" w:rsidRPr="00893A2E">
        <w:rPr>
          <w:rFonts w:asciiTheme="minorHAnsi" w:hAnsiTheme="minorHAnsi"/>
          <w:spacing w:val="-1"/>
          <w:sz w:val="24"/>
          <w:szCs w:val="24"/>
          <w:lang w:val="ru-RU"/>
        </w:rPr>
        <w:t xml:space="preserve"> годишния доклад на Съвета на директорите за дейността на дружеството през 2016 г.; 2. </w:t>
      </w:r>
      <w:r w:rsidR="00DD562B">
        <w:rPr>
          <w:rFonts w:asciiTheme="minorHAnsi" w:hAnsiTheme="minorHAnsi"/>
          <w:spacing w:val="-1"/>
          <w:sz w:val="24"/>
          <w:szCs w:val="24"/>
          <w:lang w:val="ru-RU"/>
        </w:rPr>
        <w:t>ОСА прие</w:t>
      </w:r>
      <w:r w:rsidR="00DD562B" w:rsidRPr="00893A2E">
        <w:rPr>
          <w:rFonts w:asciiTheme="minorHAnsi" w:hAnsiTheme="minorHAnsi"/>
          <w:spacing w:val="-1"/>
          <w:sz w:val="24"/>
          <w:szCs w:val="24"/>
          <w:lang w:val="ru-RU"/>
        </w:rPr>
        <w:t xml:space="preserve"> годишния доклад за дейността на Директора за връзки с инвеститорите през 2016 г.; 3. </w:t>
      </w:r>
      <w:r w:rsidR="00DD562B">
        <w:rPr>
          <w:rFonts w:asciiTheme="minorHAnsi" w:hAnsiTheme="minorHAnsi"/>
          <w:spacing w:val="-1"/>
          <w:sz w:val="24"/>
          <w:szCs w:val="24"/>
          <w:lang w:val="ru-RU"/>
        </w:rPr>
        <w:t>ОСА о</w:t>
      </w:r>
      <w:r w:rsidR="00DD562B" w:rsidRPr="00893A2E">
        <w:rPr>
          <w:rFonts w:asciiTheme="minorHAnsi" w:hAnsiTheme="minorHAnsi"/>
          <w:spacing w:val="-1"/>
          <w:sz w:val="24"/>
          <w:szCs w:val="24"/>
          <w:lang w:val="ru-RU"/>
        </w:rPr>
        <w:t>добр</w:t>
      </w:r>
      <w:r w:rsidR="00DD562B">
        <w:rPr>
          <w:rFonts w:asciiTheme="minorHAnsi" w:hAnsiTheme="minorHAnsi"/>
          <w:spacing w:val="-1"/>
          <w:sz w:val="24"/>
          <w:szCs w:val="24"/>
          <w:lang w:val="ru-RU"/>
        </w:rPr>
        <w:t>и</w:t>
      </w:r>
      <w:r w:rsidR="00DD562B" w:rsidRPr="00893A2E">
        <w:rPr>
          <w:rFonts w:asciiTheme="minorHAnsi" w:hAnsiTheme="minorHAnsi"/>
          <w:spacing w:val="-1"/>
          <w:sz w:val="24"/>
          <w:szCs w:val="24"/>
          <w:lang w:val="ru-RU"/>
        </w:rPr>
        <w:t xml:space="preserve"> Одиторския доклад за извършения одит на Годишния финансов отчет на Дружеството за 2016 год.; 4. </w:t>
      </w:r>
      <w:r w:rsidR="00DD562B">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 одитирания Годишен финансов отчет на Дружеството за 2016 год.; 5. </w:t>
      </w:r>
      <w:r w:rsidR="00DD562B">
        <w:rPr>
          <w:rFonts w:asciiTheme="minorHAnsi" w:hAnsiTheme="minorHAnsi"/>
          <w:spacing w:val="-1"/>
          <w:sz w:val="24"/>
          <w:szCs w:val="24"/>
          <w:lang w:val="ru-RU"/>
        </w:rPr>
        <w:t>ОСА пр</w:t>
      </w:r>
      <w:r w:rsidR="00DD562B" w:rsidRPr="00893A2E">
        <w:rPr>
          <w:rFonts w:asciiTheme="minorHAnsi" w:hAnsiTheme="minorHAnsi"/>
          <w:spacing w:val="-1"/>
          <w:sz w:val="24"/>
          <w:szCs w:val="24"/>
          <w:lang w:val="ru-RU"/>
        </w:rPr>
        <w:t>ие</w:t>
      </w:r>
      <w:r w:rsidR="00DD562B">
        <w:rPr>
          <w:rFonts w:asciiTheme="minorHAnsi" w:hAnsiTheme="minorHAnsi"/>
          <w:spacing w:val="-1"/>
          <w:sz w:val="24"/>
          <w:szCs w:val="24"/>
          <w:lang w:val="ru-RU"/>
        </w:rPr>
        <w:t xml:space="preserve"> </w:t>
      </w:r>
      <w:r w:rsidR="00DD562B" w:rsidRPr="00893A2E">
        <w:rPr>
          <w:rFonts w:asciiTheme="minorHAnsi" w:hAnsiTheme="minorHAnsi"/>
          <w:spacing w:val="-1"/>
          <w:sz w:val="24"/>
          <w:szCs w:val="24"/>
          <w:lang w:val="ru-RU"/>
        </w:rPr>
        <w:t xml:space="preserve">одитирания Годишен консолидиран финансов отчет на Дружеството за 2016 год.; 6. </w:t>
      </w:r>
      <w:r w:rsidR="00DD562B">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 доклада на Одитния комитет за дейността му през 2016 год.; 7. </w:t>
      </w:r>
      <w:r w:rsidR="00DD562B">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 решение за разпределяне на печалбата на Дружеството, реализирана през 2016 год. и неразпределена печалба от минали периоди; Предложение за решение: ОСА приема предложението на Съвета на директорите за разпределяне на печалбата на дружеството, реализирана през 2016 год. и неразпределена печалба от предишни периоди, както следва: Общият размер на подлежащата на разпределение печалба възлиза на 38 249 890,71 лв. /тридесет и осем милиона двеста четиридесет и девет хиляди осемстотин и деветдесет лева и 71 ст./, от които 37 769 879,20 лв. /тридесет и седем милиона седемстотин шестдесет и девет хиляди осемстотин седемдесет и девет лева и 20 ст./ печалба, реализирана през 2016 г. и 480 011,51 лв. /четиристотин и осемдесет хиляди и единадесет лева и 51 ст./ неразпределена печалба от минали периоди. След заделяне на 10 % за задължителен резерв, да се разпредели дивидент в размер на 0.10 лв. (десет стотинки) на акция. Останалата след разпределението сума да се отнесе като допълнителен резерв на дружеството. Правото да получат дивидент имат лицата, вписани в регистрите на Централния депозитар като акционери на 14-ия ден след деня на общото събрание, на което е приет годишният финансов отчет и е взето решение за разпределение на печалбата. Дружеството да осигури изплащането на акционерите на гласувания на общото събрание дивидент в 3-месечен срок от провеждането му. Разходите по изплащането на дивидента са за сметка на дружеството. Изплащането на дивидента се извършва със съдействието на Централния депозитар. Акционерите с открити сметки при инвестиционен посредник ще получат дивидента си чрез съответния посредник, а тези акционери, които не ползват услугите на инвестиционен посредник ще получат </w:t>
      </w:r>
      <w:r w:rsidR="00DD562B" w:rsidRPr="00893A2E">
        <w:rPr>
          <w:rFonts w:asciiTheme="minorHAnsi" w:hAnsiTheme="minorHAnsi"/>
          <w:spacing w:val="-1"/>
          <w:sz w:val="24"/>
          <w:szCs w:val="24"/>
          <w:lang w:val="ru-RU"/>
        </w:rPr>
        <w:lastRenderedPageBreak/>
        <w:t xml:space="preserve">дивидента си от клоновете на „Юробанк България“ АД /Пощенска банка/ в страната. 8. </w:t>
      </w:r>
      <w:r w:rsidR="00DD562B">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 решение за освобождаване от отговорност членовете на Съвета на директорите за дейността им през 2016 год.; 9. </w:t>
      </w:r>
      <w:r w:rsidR="00DD562B">
        <w:rPr>
          <w:rFonts w:asciiTheme="minorHAnsi" w:hAnsiTheme="minorHAnsi"/>
          <w:spacing w:val="-1"/>
          <w:sz w:val="24"/>
          <w:szCs w:val="24"/>
          <w:lang w:val="ru-RU"/>
        </w:rPr>
        <w:t>ОСА и</w:t>
      </w:r>
      <w:r w:rsidR="00DD562B" w:rsidRPr="00893A2E">
        <w:rPr>
          <w:rFonts w:asciiTheme="minorHAnsi" w:hAnsiTheme="minorHAnsi"/>
          <w:spacing w:val="-1"/>
          <w:sz w:val="24"/>
          <w:szCs w:val="24"/>
          <w:lang w:val="ru-RU"/>
        </w:rPr>
        <w:t>зб</w:t>
      </w:r>
      <w:r w:rsidR="00DD562B">
        <w:rPr>
          <w:rFonts w:asciiTheme="minorHAnsi" w:hAnsiTheme="minorHAnsi"/>
          <w:spacing w:val="-1"/>
          <w:sz w:val="24"/>
          <w:szCs w:val="24"/>
          <w:lang w:val="ru-RU"/>
        </w:rPr>
        <w:t xml:space="preserve">ира </w:t>
      </w:r>
      <w:r w:rsidR="002A46F5">
        <w:rPr>
          <w:rFonts w:asciiTheme="minorHAnsi" w:hAnsiTheme="minorHAnsi"/>
          <w:spacing w:val="-1"/>
          <w:sz w:val="24"/>
          <w:szCs w:val="24"/>
          <w:lang w:val="ru-RU"/>
        </w:rPr>
        <w:t xml:space="preserve">одиторското предприятие </w:t>
      </w:r>
      <w:r w:rsidR="00DD562B">
        <w:rPr>
          <w:rFonts w:asciiTheme="minorHAnsi" w:hAnsiTheme="minorHAnsi"/>
          <w:spacing w:val="-1"/>
          <w:sz w:val="24"/>
          <w:szCs w:val="24"/>
          <w:lang w:val="ru-RU"/>
        </w:rPr>
        <w:t>БЕЙКЪР ТИЛИ КЛИТУ И ПАРТНЬОРИ</w:t>
      </w:r>
      <w:r w:rsidR="00DD562B">
        <w:rPr>
          <w:rFonts w:asciiTheme="minorHAnsi" w:hAnsiTheme="minorHAnsi"/>
          <w:spacing w:val="-1"/>
          <w:sz w:val="24"/>
          <w:szCs w:val="24"/>
          <w:lang w:val="en-US"/>
        </w:rPr>
        <w:t xml:space="preserve"> </w:t>
      </w:r>
      <w:r w:rsidR="00DD562B">
        <w:rPr>
          <w:rFonts w:asciiTheme="minorHAnsi" w:hAnsiTheme="minorHAnsi"/>
          <w:spacing w:val="-1"/>
          <w:sz w:val="24"/>
          <w:szCs w:val="24"/>
        </w:rPr>
        <w:t>ООД</w:t>
      </w:r>
      <w:r w:rsidR="002A46F5">
        <w:rPr>
          <w:rFonts w:asciiTheme="minorHAnsi" w:hAnsiTheme="minorHAnsi"/>
          <w:spacing w:val="-1"/>
          <w:sz w:val="24"/>
          <w:szCs w:val="24"/>
        </w:rPr>
        <w:t xml:space="preserve"> като </w:t>
      </w:r>
      <w:r w:rsidR="002A46F5" w:rsidRPr="004F3733">
        <w:rPr>
          <w:rFonts w:asciiTheme="minorHAnsi" w:hAnsiTheme="minorHAnsi"/>
          <w:spacing w:val="-1"/>
          <w:sz w:val="24"/>
          <w:szCs w:val="24"/>
          <w:lang w:val="ru-RU"/>
        </w:rPr>
        <w:t>регистриран одитор на Дружеството за 2017 год.</w:t>
      </w:r>
      <w:r w:rsidR="00DD562B" w:rsidRPr="00893A2E">
        <w:rPr>
          <w:rFonts w:asciiTheme="minorHAnsi" w:hAnsiTheme="minorHAnsi"/>
          <w:spacing w:val="-1"/>
          <w:sz w:val="24"/>
          <w:szCs w:val="24"/>
          <w:lang w:val="ru-RU"/>
        </w:rPr>
        <w:t xml:space="preserve">; 10. </w:t>
      </w:r>
      <w:r w:rsidR="002A46F5">
        <w:rPr>
          <w:rFonts w:asciiTheme="minorHAnsi" w:hAnsiTheme="minorHAnsi"/>
          <w:spacing w:val="-1"/>
          <w:sz w:val="24"/>
          <w:szCs w:val="24"/>
          <w:lang w:val="ru-RU"/>
        </w:rPr>
        <w:t>ОСА и</w:t>
      </w:r>
      <w:r w:rsidR="00DD562B" w:rsidRPr="00893A2E">
        <w:rPr>
          <w:rFonts w:asciiTheme="minorHAnsi" w:hAnsiTheme="minorHAnsi"/>
          <w:spacing w:val="-1"/>
          <w:sz w:val="24"/>
          <w:szCs w:val="24"/>
          <w:lang w:val="ru-RU"/>
        </w:rPr>
        <w:t>зб</w:t>
      </w:r>
      <w:r w:rsidR="002A46F5">
        <w:rPr>
          <w:rFonts w:asciiTheme="minorHAnsi" w:hAnsiTheme="minorHAnsi"/>
          <w:spacing w:val="-1"/>
          <w:sz w:val="24"/>
          <w:szCs w:val="24"/>
          <w:lang w:val="ru-RU"/>
        </w:rPr>
        <w:t>ира</w:t>
      </w:r>
      <w:r w:rsidR="00DD562B" w:rsidRPr="00893A2E">
        <w:rPr>
          <w:rFonts w:asciiTheme="minorHAnsi" w:hAnsiTheme="minorHAnsi"/>
          <w:spacing w:val="-1"/>
          <w:sz w:val="24"/>
          <w:szCs w:val="24"/>
          <w:lang w:val="ru-RU"/>
        </w:rPr>
        <w:t xml:space="preserve"> Одитен комитет</w:t>
      </w:r>
      <w:r w:rsidR="002A46F5">
        <w:rPr>
          <w:rFonts w:asciiTheme="minorHAnsi" w:hAnsiTheme="minorHAnsi"/>
          <w:spacing w:val="-1"/>
          <w:sz w:val="24"/>
          <w:szCs w:val="24"/>
          <w:lang w:val="ru-RU"/>
        </w:rPr>
        <w:t xml:space="preserve"> на Софарма АД в състав Цветанка Златева, Васил Найденов и Кристина Атанасова</w:t>
      </w:r>
      <w:r w:rsidR="00DD562B" w:rsidRPr="00893A2E">
        <w:rPr>
          <w:rFonts w:asciiTheme="minorHAnsi" w:hAnsiTheme="minorHAnsi"/>
          <w:spacing w:val="-1"/>
          <w:sz w:val="24"/>
          <w:szCs w:val="24"/>
          <w:lang w:val="ru-RU"/>
        </w:rPr>
        <w:t xml:space="preserve">; 11. </w:t>
      </w:r>
      <w:r w:rsidR="002A46F5">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риема правила за дейността на Одитния комитет съгласно изискванията на Част Четвърта от Закона за независимия финансов одит; 12. </w:t>
      </w:r>
      <w:r w:rsidR="002A46F5">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риема Доклад на Съвета на директорите относно прилагане на Политиката за възнагражденията на членовете на Съвета на директорите на Дружеството за 2016 г.; 13. </w:t>
      </w:r>
      <w:r w:rsidR="002A46F5">
        <w:rPr>
          <w:rFonts w:asciiTheme="minorHAnsi" w:hAnsiTheme="minorHAnsi"/>
          <w:spacing w:val="-1"/>
          <w:sz w:val="24"/>
          <w:szCs w:val="24"/>
          <w:lang w:val="ru-RU"/>
        </w:rPr>
        <w:t xml:space="preserve">ОСА запазва без промяна постоянното месечно </w:t>
      </w:r>
      <w:r w:rsidR="00DD562B" w:rsidRPr="00893A2E">
        <w:rPr>
          <w:rFonts w:asciiTheme="minorHAnsi" w:hAnsiTheme="minorHAnsi"/>
          <w:spacing w:val="-1"/>
          <w:sz w:val="24"/>
          <w:szCs w:val="24"/>
          <w:lang w:val="ru-RU"/>
        </w:rPr>
        <w:t>възнагражден</w:t>
      </w:r>
      <w:r w:rsidR="002A46F5">
        <w:rPr>
          <w:rFonts w:asciiTheme="minorHAnsi" w:hAnsiTheme="minorHAnsi"/>
          <w:spacing w:val="-1"/>
          <w:sz w:val="24"/>
          <w:szCs w:val="24"/>
          <w:lang w:val="ru-RU"/>
        </w:rPr>
        <w:t>ие</w:t>
      </w:r>
      <w:r w:rsidR="00DD562B" w:rsidRPr="00893A2E">
        <w:rPr>
          <w:rFonts w:asciiTheme="minorHAnsi" w:hAnsiTheme="minorHAnsi"/>
          <w:spacing w:val="-1"/>
          <w:sz w:val="24"/>
          <w:szCs w:val="24"/>
          <w:lang w:val="ru-RU"/>
        </w:rPr>
        <w:t xml:space="preserve"> на членовете на Съвета на директорите</w:t>
      </w:r>
      <w:r w:rsidR="002A46F5">
        <w:rPr>
          <w:rFonts w:asciiTheme="minorHAnsi" w:hAnsiTheme="minorHAnsi"/>
          <w:spacing w:val="-1"/>
          <w:sz w:val="24"/>
          <w:szCs w:val="24"/>
          <w:lang w:val="ru-RU"/>
        </w:rPr>
        <w:t>, както и постоянното месечно възнаграждение на Изпълнителния директор</w:t>
      </w:r>
      <w:r w:rsidR="00DD562B" w:rsidRPr="00893A2E">
        <w:rPr>
          <w:rFonts w:asciiTheme="minorHAnsi" w:hAnsiTheme="minorHAnsi"/>
          <w:spacing w:val="-1"/>
          <w:sz w:val="24"/>
          <w:szCs w:val="24"/>
          <w:lang w:val="ru-RU"/>
        </w:rPr>
        <w:t xml:space="preserve"> </w:t>
      </w:r>
      <w:r w:rsidR="002A46F5">
        <w:rPr>
          <w:rFonts w:asciiTheme="minorHAnsi" w:hAnsiTheme="minorHAnsi"/>
          <w:spacing w:val="-1"/>
          <w:sz w:val="24"/>
          <w:szCs w:val="24"/>
          <w:lang w:val="ru-RU"/>
        </w:rPr>
        <w:t>през</w:t>
      </w:r>
      <w:r w:rsidR="00DD562B" w:rsidRPr="00893A2E">
        <w:rPr>
          <w:rFonts w:asciiTheme="minorHAnsi" w:hAnsiTheme="minorHAnsi"/>
          <w:spacing w:val="-1"/>
          <w:sz w:val="24"/>
          <w:szCs w:val="24"/>
          <w:lang w:val="ru-RU"/>
        </w:rPr>
        <w:t xml:space="preserve"> 2017 год.; 14. </w:t>
      </w:r>
      <w:r w:rsidR="002A46F5">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рием</w:t>
      </w:r>
      <w:r w:rsidR="002A46F5">
        <w:rPr>
          <w:rFonts w:asciiTheme="minorHAnsi" w:hAnsiTheme="minorHAnsi"/>
          <w:spacing w:val="-1"/>
          <w:sz w:val="24"/>
          <w:szCs w:val="24"/>
          <w:lang w:val="ru-RU"/>
        </w:rPr>
        <w:t>а</w:t>
      </w:r>
      <w:r w:rsidR="00DD562B" w:rsidRPr="00893A2E">
        <w:rPr>
          <w:rFonts w:asciiTheme="minorHAnsi" w:hAnsiTheme="minorHAnsi"/>
          <w:spacing w:val="-1"/>
          <w:sz w:val="24"/>
          <w:szCs w:val="24"/>
          <w:lang w:val="ru-RU"/>
        </w:rPr>
        <w:t xml:space="preserve"> решение по чл.24, ал.3, буква „Б” от Устава на дружеството</w:t>
      </w:r>
      <w:r w:rsidR="002A46F5">
        <w:rPr>
          <w:rFonts w:asciiTheme="minorHAnsi" w:hAnsiTheme="minorHAnsi"/>
          <w:spacing w:val="-1"/>
          <w:sz w:val="24"/>
          <w:szCs w:val="24"/>
          <w:lang w:val="ru-RU"/>
        </w:rPr>
        <w:t xml:space="preserve"> на Изпълнителния директор да бъде изплатено допълнително възнаграждение в размер на 1% от размера на печалбата, реализирана през 2016 г. съгласно приетия Годишен финансов отчет</w:t>
      </w:r>
      <w:r w:rsidR="00DD562B" w:rsidRPr="00893A2E">
        <w:rPr>
          <w:rFonts w:asciiTheme="minorHAnsi" w:hAnsiTheme="minorHAnsi"/>
          <w:spacing w:val="-1"/>
          <w:sz w:val="24"/>
          <w:szCs w:val="24"/>
          <w:lang w:val="ru-RU"/>
        </w:rPr>
        <w:t xml:space="preserve">; 15. </w:t>
      </w:r>
      <w:r w:rsidR="002A46F5">
        <w:rPr>
          <w:rFonts w:asciiTheme="minorHAnsi" w:hAnsiTheme="minorHAnsi"/>
          <w:spacing w:val="-1"/>
          <w:sz w:val="24"/>
          <w:szCs w:val="24"/>
          <w:lang w:val="ru-RU"/>
        </w:rPr>
        <w:t>ОСА п</w:t>
      </w:r>
      <w:r w:rsidR="00DD562B" w:rsidRPr="00893A2E">
        <w:rPr>
          <w:rFonts w:asciiTheme="minorHAnsi" w:hAnsiTheme="minorHAnsi"/>
          <w:spacing w:val="-1"/>
          <w:sz w:val="24"/>
          <w:szCs w:val="24"/>
          <w:lang w:val="ru-RU"/>
        </w:rPr>
        <w:t xml:space="preserve">рие решение </w:t>
      </w:r>
      <w:r w:rsidR="001B02B5" w:rsidRPr="004F3733">
        <w:rPr>
          <w:rFonts w:asciiTheme="minorHAnsi" w:hAnsiTheme="minorHAnsi"/>
          <w:spacing w:val="-1"/>
          <w:sz w:val="24"/>
          <w:szCs w:val="24"/>
          <w:lang w:val="ru-RU"/>
        </w:rPr>
        <w:t>при спазване изискванията на чл.26а, т.12 от Устава на дружеството</w:t>
      </w:r>
      <w:r w:rsidR="001B02B5">
        <w:rPr>
          <w:rFonts w:asciiTheme="minorHAnsi" w:hAnsiTheme="minorHAnsi"/>
          <w:spacing w:val="-1"/>
          <w:sz w:val="24"/>
          <w:szCs w:val="24"/>
          <w:lang w:val="ru-RU"/>
        </w:rPr>
        <w:t>, 1% от размера на печалбата,</w:t>
      </w:r>
      <w:r w:rsidR="00DD562B" w:rsidRPr="00893A2E">
        <w:rPr>
          <w:rFonts w:asciiTheme="minorHAnsi" w:hAnsiTheme="minorHAnsi"/>
          <w:spacing w:val="-1"/>
          <w:sz w:val="24"/>
          <w:szCs w:val="24"/>
          <w:lang w:val="ru-RU"/>
        </w:rPr>
        <w:t xml:space="preserve"> реализираната през 2016 г</w:t>
      </w:r>
      <w:r w:rsidR="001B02B5">
        <w:rPr>
          <w:rFonts w:asciiTheme="minorHAnsi" w:hAnsiTheme="minorHAnsi"/>
          <w:spacing w:val="-1"/>
          <w:sz w:val="24"/>
          <w:szCs w:val="24"/>
          <w:lang w:val="ru-RU"/>
        </w:rPr>
        <w:t>.</w:t>
      </w:r>
      <w:r w:rsidR="00DD562B" w:rsidRPr="00893A2E">
        <w:rPr>
          <w:rFonts w:asciiTheme="minorHAnsi" w:hAnsiTheme="minorHAnsi"/>
          <w:spacing w:val="-1"/>
          <w:sz w:val="24"/>
          <w:szCs w:val="24"/>
          <w:lang w:val="ru-RU"/>
        </w:rPr>
        <w:t xml:space="preserve"> да бъде разпределена между членовете на висшия мениджърски екип на дружеството; 16. </w:t>
      </w:r>
      <w:r w:rsidR="001B02B5">
        <w:rPr>
          <w:rFonts w:asciiTheme="minorHAnsi" w:hAnsiTheme="minorHAnsi"/>
          <w:spacing w:val="-1"/>
          <w:sz w:val="24"/>
          <w:szCs w:val="24"/>
          <w:lang w:val="ru-RU"/>
        </w:rPr>
        <w:t>ОСА одобрява</w:t>
      </w:r>
      <w:r w:rsidR="00DD562B" w:rsidRPr="00893A2E">
        <w:rPr>
          <w:rFonts w:asciiTheme="minorHAnsi" w:hAnsiTheme="minorHAnsi"/>
          <w:spacing w:val="-1"/>
          <w:sz w:val="24"/>
          <w:szCs w:val="24"/>
          <w:lang w:val="ru-RU"/>
        </w:rPr>
        <w:t xml:space="preserve"> </w:t>
      </w:r>
      <w:r w:rsidR="001B02B5" w:rsidRPr="004F3733">
        <w:rPr>
          <w:rFonts w:asciiTheme="minorHAnsi" w:hAnsiTheme="minorHAnsi"/>
          <w:spacing w:val="-1"/>
          <w:sz w:val="24"/>
          <w:szCs w:val="24"/>
          <w:lang w:val="ru-RU"/>
        </w:rPr>
        <w:t>изготвен</w:t>
      </w:r>
      <w:r w:rsidR="001B02B5">
        <w:rPr>
          <w:rFonts w:asciiTheme="minorHAnsi" w:hAnsiTheme="minorHAnsi"/>
          <w:spacing w:val="-1"/>
          <w:sz w:val="24"/>
          <w:szCs w:val="24"/>
          <w:lang w:val="ru-RU"/>
        </w:rPr>
        <w:t>ия</w:t>
      </w:r>
      <w:r w:rsidR="001B02B5" w:rsidRPr="004F3733">
        <w:rPr>
          <w:rFonts w:asciiTheme="minorHAnsi" w:hAnsiTheme="minorHAnsi"/>
          <w:spacing w:val="-1"/>
          <w:sz w:val="24"/>
          <w:szCs w:val="24"/>
          <w:lang w:val="ru-RU"/>
        </w:rPr>
        <w:t xml:space="preserve"> от Съвета на директорите </w:t>
      </w:r>
      <w:r w:rsidR="00DD562B" w:rsidRPr="00893A2E">
        <w:rPr>
          <w:rFonts w:asciiTheme="minorHAnsi" w:hAnsiTheme="minorHAnsi"/>
          <w:spacing w:val="-1"/>
          <w:sz w:val="24"/>
          <w:szCs w:val="24"/>
          <w:lang w:val="ru-RU"/>
        </w:rPr>
        <w:t xml:space="preserve">Мотивиран доклад за сделка от приложното поле на чл.114, ал.1, от ЗППЦК; 17. </w:t>
      </w:r>
      <w:r w:rsidR="001B02B5">
        <w:rPr>
          <w:rFonts w:asciiTheme="minorHAnsi" w:hAnsiTheme="minorHAnsi"/>
          <w:spacing w:val="-1"/>
          <w:sz w:val="24"/>
          <w:szCs w:val="24"/>
          <w:lang w:val="ru-RU"/>
        </w:rPr>
        <w:t>ОСА о</w:t>
      </w:r>
      <w:r w:rsidR="00DD562B" w:rsidRPr="00893A2E">
        <w:rPr>
          <w:rFonts w:asciiTheme="minorHAnsi" w:hAnsiTheme="minorHAnsi"/>
          <w:spacing w:val="-1"/>
          <w:sz w:val="24"/>
          <w:szCs w:val="24"/>
          <w:lang w:val="ru-RU"/>
        </w:rPr>
        <w:t xml:space="preserve">властява Съвета на директорите </w:t>
      </w:r>
      <w:r w:rsidR="001B02B5">
        <w:rPr>
          <w:rFonts w:asciiTheme="minorHAnsi" w:hAnsiTheme="minorHAnsi"/>
          <w:spacing w:val="-1"/>
          <w:sz w:val="24"/>
          <w:szCs w:val="24"/>
          <w:lang w:val="ru-RU"/>
        </w:rPr>
        <w:t>за</w:t>
      </w:r>
      <w:r w:rsidR="00DD562B" w:rsidRPr="00893A2E">
        <w:rPr>
          <w:rFonts w:asciiTheme="minorHAnsi" w:hAnsiTheme="minorHAnsi"/>
          <w:spacing w:val="-1"/>
          <w:sz w:val="24"/>
          <w:szCs w:val="24"/>
          <w:lang w:val="ru-RU"/>
        </w:rPr>
        <w:t xml:space="preserve"> сключването на сделка</w:t>
      </w:r>
      <w:r w:rsidR="001B02B5">
        <w:rPr>
          <w:rFonts w:asciiTheme="minorHAnsi" w:hAnsiTheme="minorHAnsi"/>
          <w:spacing w:val="-1"/>
          <w:sz w:val="24"/>
          <w:szCs w:val="24"/>
          <w:lang w:val="ru-RU"/>
        </w:rPr>
        <w:t>,</w:t>
      </w:r>
      <w:r w:rsidR="00DD562B" w:rsidRPr="00893A2E">
        <w:rPr>
          <w:rFonts w:asciiTheme="minorHAnsi" w:hAnsiTheme="minorHAnsi"/>
          <w:spacing w:val="-1"/>
          <w:sz w:val="24"/>
          <w:szCs w:val="24"/>
          <w:lang w:val="ru-RU"/>
        </w:rPr>
        <w:t xml:space="preserve"> </w:t>
      </w:r>
      <w:r w:rsidR="001B02B5">
        <w:rPr>
          <w:rFonts w:asciiTheme="minorHAnsi" w:hAnsiTheme="minorHAnsi"/>
          <w:spacing w:val="-1"/>
          <w:sz w:val="24"/>
          <w:szCs w:val="24"/>
          <w:lang w:val="ru-RU"/>
        </w:rPr>
        <w:t>по силата</w:t>
      </w:r>
      <w:r w:rsidR="00DD562B" w:rsidRPr="00893A2E">
        <w:rPr>
          <w:rFonts w:asciiTheme="minorHAnsi" w:hAnsiTheme="minorHAnsi"/>
          <w:spacing w:val="-1"/>
          <w:sz w:val="24"/>
          <w:szCs w:val="24"/>
          <w:lang w:val="ru-RU"/>
        </w:rPr>
        <w:t xml:space="preserve"> </w:t>
      </w:r>
      <w:r w:rsidR="001B02B5">
        <w:rPr>
          <w:rFonts w:asciiTheme="minorHAnsi" w:hAnsiTheme="minorHAnsi"/>
          <w:spacing w:val="-1"/>
          <w:sz w:val="24"/>
          <w:szCs w:val="24"/>
          <w:lang w:val="ru-RU"/>
        </w:rPr>
        <w:t xml:space="preserve">на която Софарма АД ще </w:t>
      </w:r>
      <w:r w:rsidR="00DD562B" w:rsidRPr="00893A2E">
        <w:rPr>
          <w:rFonts w:asciiTheme="minorHAnsi" w:hAnsiTheme="minorHAnsi"/>
          <w:spacing w:val="-1"/>
          <w:sz w:val="24"/>
          <w:szCs w:val="24"/>
          <w:lang w:val="ru-RU"/>
        </w:rPr>
        <w:t>встъп</w:t>
      </w:r>
      <w:r w:rsidR="001B02B5">
        <w:rPr>
          <w:rFonts w:asciiTheme="minorHAnsi" w:hAnsiTheme="minorHAnsi"/>
          <w:spacing w:val="-1"/>
          <w:sz w:val="24"/>
          <w:szCs w:val="24"/>
          <w:lang w:val="ru-RU"/>
        </w:rPr>
        <w:t>и</w:t>
      </w:r>
      <w:r w:rsidR="00DD562B" w:rsidRPr="00893A2E">
        <w:rPr>
          <w:rFonts w:asciiTheme="minorHAnsi" w:hAnsiTheme="minorHAnsi"/>
          <w:spacing w:val="-1"/>
          <w:sz w:val="24"/>
          <w:szCs w:val="24"/>
          <w:lang w:val="ru-RU"/>
        </w:rPr>
        <w:t xml:space="preserve"> като съдлъжник при условията на солидарност по договор за оборотен кредит между дъщерното дружество Софарма Трейдинг АД и финансова институция – „ИНГ Банк Н.В. - клон София</w:t>
      </w:r>
      <w:r w:rsidR="001B02B5">
        <w:rPr>
          <w:rFonts w:asciiTheme="minorHAnsi" w:hAnsiTheme="minorHAnsi"/>
          <w:spacing w:val="-1"/>
          <w:sz w:val="24"/>
          <w:szCs w:val="24"/>
          <w:lang w:val="ru-RU"/>
        </w:rPr>
        <w:t>, съгласно условията и параметрите, посочени в мотивирания доклад</w:t>
      </w:r>
      <w:r w:rsidR="00DD562B" w:rsidRPr="00893A2E">
        <w:rPr>
          <w:rFonts w:asciiTheme="minorHAnsi" w:hAnsiTheme="minorHAnsi"/>
          <w:spacing w:val="-1"/>
          <w:sz w:val="24"/>
          <w:szCs w:val="24"/>
          <w:lang w:val="ru-RU"/>
        </w:rPr>
        <w:t xml:space="preserve">; 18. </w:t>
      </w:r>
      <w:r w:rsidR="001B02B5">
        <w:rPr>
          <w:rFonts w:asciiTheme="minorHAnsi" w:hAnsiTheme="minorHAnsi"/>
          <w:spacing w:val="-1"/>
          <w:sz w:val="24"/>
          <w:szCs w:val="24"/>
          <w:lang w:val="ru-RU"/>
        </w:rPr>
        <w:t xml:space="preserve">ОСА </w:t>
      </w:r>
      <w:r w:rsidR="00DD562B" w:rsidRPr="00893A2E">
        <w:rPr>
          <w:rFonts w:asciiTheme="minorHAnsi" w:hAnsiTheme="minorHAnsi"/>
          <w:spacing w:val="-1"/>
          <w:sz w:val="24"/>
          <w:szCs w:val="24"/>
          <w:lang w:val="ru-RU"/>
        </w:rPr>
        <w:t xml:space="preserve">преобразува </w:t>
      </w:r>
      <w:r w:rsidR="001B02B5" w:rsidRPr="004F3733">
        <w:rPr>
          <w:rFonts w:asciiTheme="minorHAnsi" w:hAnsiTheme="minorHAnsi"/>
          <w:spacing w:val="-1"/>
          <w:sz w:val="24"/>
          <w:szCs w:val="24"/>
          <w:lang w:val="ru-RU"/>
        </w:rPr>
        <w:t>С</w:t>
      </w:r>
      <w:r w:rsidR="001B02B5">
        <w:rPr>
          <w:rFonts w:asciiTheme="minorHAnsi" w:hAnsiTheme="minorHAnsi"/>
          <w:spacing w:val="-1"/>
          <w:sz w:val="24"/>
          <w:szCs w:val="24"/>
          <w:lang w:val="ru-RU"/>
        </w:rPr>
        <w:t>офарма</w:t>
      </w:r>
      <w:r w:rsidR="001B02B5" w:rsidRPr="004F3733">
        <w:rPr>
          <w:rFonts w:asciiTheme="minorHAnsi" w:hAnsiTheme="minorHAnsi"/>
          <w:spacing w:val="-1"/>
          <w:sz w:val="24"/>
          <w:szCs w:val="24"/>
          <w:lang w:val="ru-RU"/>
        </w:rPr>
        <w:t xml:space="preserve"> АД</w:t>
      </w:r>
      <w:r w:rsidR="001B02B5" w:rsidRPr="001B02B5">
        <w:rPr>
          <w:rFonts w:asciiTheme="minorHAnsi" w:hAnsiTheme="minorHAnsi"/>
          <w:spacing w:val="-1"/>
          <w:sz w:val="24"/>
          <w:szCs w:val="24"/>
          <w:lang w:val="ru-RU"/>
        </w:rPr>
        <w:t xml:space="preserve"> </w:t>
      </w:r>
      <w:r w:rsidR="00DD562B" w:rsidRPr="00893A2E">
        <w:rPr>
          <w:rFonts w:asciiTheme="minorHAnsi" w:hAnsiTheme="minorHAnsi"/>
          <w:spacing w:val="-1"/>
          <w:sz w:val="24"/>
          <w:szCs w:val="24"/>
          <w:lang w:val="ru-RU"/>
        </w:rPr>
        <w:t xml:space="preserve">чрез вливане </w:t>
      </w:r>
      <w:r w:rsidR="001B02B5">
        <w:rPr>
          <w:rFonts w:asciiTheme="minorHAnsi" w:hAnsiTheme="minorHAnsi"/>
          <w:spacing w:val="-1"/>
          <w:sz w:val="24"/>
          <w:szCs w:val="24"/>
          <w:lang w:val="ru-RU"/>
        </w:rPr>
        <w:t xml:space="preserve">в него </w:t>
      </w:r>
      <w:r w:rsidR="00DD562B" w:rsidRPr="00893A2E">
        <w:rPr>
          <w:rFonts w:asciiTheme="minorHAnsi" w:hAnsiTheme="minorHAnsi"/>
          <w:spacing w:val="-1"/>
          <w:sz w:val="24"/>
          <w:szCs w:val="24"/>
          <w:lang w:val="ru-RU"/>
        </w:rPr>
        <w:t>на М</w:t>
      </w:r>
      <w:r w:rsidR="001B02B5">
        <w:rPr>
          <w:rFonts w:asciiTheme="minorHAnsi" w:hAnsiTheme="minorHAnsi"/>
          <w:spacing w:val="-1"/>
          <w:sz w:val="24"/>
          <w:szCs w:val="24"/>
          <w:lang w:val="ru-RU"/>
        </w:rPr>
        <w:t>едика</w:t>
      </w:r>
      <w:r w:rsidR="001B02B5" w:rsidRPr="001B02B5">
        <w:rPr>
          <w:rFonts w:asciiTheme="minorHAnsi" w:hAnsiTheme="minorHAnsi"/>
          <w:spacing w:val="-1"/>
          <w:sz w:val="24"/>
          <w:szCs w:val="24"/>
          <w:lang w:val="ru-RU"/>
        </w:rPr>
        <w:t xml:space="preserve"> АД</w:t>
      </w:r>
      <w:r w:rsidR="00DD562B" w:rsidRPr="00893A2E">
        <w:rPr>
          <w:rFonts w:asciiTheme="minorHAnsi" w:hAnsiTheme="minorHAnsi"/>
          <w:spacing w:val="-1"/>
          <w:sz w:val="24"/>
          <w:szCs w:val="24"/>
          <w:lang w:val="ru-RU"/>
        </w:rPr>
        <w:t xml:space="preserve">; 19. </w:t>
      </w:r>
      <w:r w:rsidR="001B02B5">
        <w:rPr>
          <w:rFonts w:asciiTheme="minorHAnsi" w:hAnsiTheme="minorHAnsi"/>
          <w:spacing w:val="-1"/>
          <w:sz w:val="24"/>
          <w:szCs w:val="24"/>
          <w:lang w:val="ru-RU"/>
        </w:rPr>
        <w:t>ОСА о</w:t>
      </w:r>
      <w:r w:rsidR="00DD562B" w:rsidRPr="00893A2E">
        <w:rPr>
          <w:rFonts w:asciiTheme="minorHAnsi" w:hAnsiTheme="minorHAnsi"/>
          <w:spacing w:val="-1"/>
          <w:sz w:val="24"/>
          <w:szCs w:val="24"/>
          <w:lang w:val="ru-RU"/>
        </w:rPr>
        <w:t>добрява</w:t>
      </w:r>
      <w:r w:rsidR="001B02B5" w:rsidRPr="001B02B5">
        <w:rPr>
          <w:rFonts w:asciiTheme="minorHAnsi" w:hAnsiTheme="minorHAnsi"/>
          <w:spacing w:val="-1"/>
          <w:sz w:val="24"/>
          <w:szCs w:val="24"/>
          <w:lang w:val="ru-RU"/>
        </w:rPr>
        <w:t xml:space="preserve"> </w:t>
      </w:r>
      <w:r w:rsidR="00DD562B" w:rsidRPr="00893A2E">
        <w:rPr>
          <w:rFonts w:asciiTheme="minorHAnsi" w:hAnsiTheme="minorHAnsi"/>
          <w:spacing w:val="-1"/>
          <w:sz w:val="24"/>
          <w:szCs w:val="24"/>
          <w:lang w:val="ru-RU"/>
        </w:rPr>
        <w:t xml:space="preserve">Договор за преобразуване чрез вливане на </w:t>
      </w:r>
      <w:r w:rsidR="001B02B5" w:rsidRPr="004F3733">
        <w:rPr>
          <w:rFonts w:asciiTheme="minorHAnsi" w:hAnsiTheme="minorHAnsi"/>
          <w:spacing w:val="-1"/>
          <w:sz w:val="24"/>
          <w:szCs w:val="24"/>
          <w:lang w:val="ru-RU"/>
        </w:rPr>
        <w:t>М</w:t>
      </w:r>
      <w:r w:rsidR="001B02B5">
        <w:rPr>
          <w:rFonts w:asciiTheme="minorHAnsi" w:hAnsiTheme="minorHAnsi"/>
          <w:spacing w:val="-1"/>
          <w:sz w:val="24"/>
          <w:szCs w:val="24"/>
          <w:lang w:val="ru-RU"/>
        </w:rPr>
        <w:t>едика</w:t>
      </w:r>
      <w:r w:rsidR="001B02B5" w:rsidRPr="001B02B5">
        <w:rPr>
          <w:rFonts w:asciiTheme="minorHAnsi" w:hAnsiTheme="minorHAnsi"/>
          <w:spacing w:val="-1"/>
          <w:sz w:val="24"/>
          <w:szCs w:val="24"/>
          <w:lang w:val="ru-RU"/>
        </w:rPr>
        <w:t xml:space="preserve"> АД</w:t>
      </w:r>
      <w:r w:rsidR="00DD562B" w:rsidRPr="00893A2E">
        <w:rPr>
          <w:rFonts w:asciiTheme="minorHAnsi" w:hAnsiTheme="minorHAnsi"/>
          <w:spacing w:val="-1"/>
          <w:sz w:val="24"/>
          <w:szCs w:val="24"/>
          <w:lang w:val="ru-RU"/>
        </w:rPr>
        <w:t xml:space="preserve">, ЕИК:  000000993, в </w:t>
      </w:r>
      <w:r w:rsidR="001B02B5" w:rsidRPr="004F3733">
        <w:rPr>
          <w:rFonts w:asciiTheme="minorHAnsi" w:hAnsiTheme="minorHAnsi"/>
          <w:spacing w:val="-1"/>
          <w:sz w:val="24"/>
          <w:szCs w:val="24"/>
          <w:lang w:val="ru-RU"/>
        </w:rPr>
        <w:t>С</w:t>
      </w:r>
      <w:r w:rsidR="001B02B5">
        <w:rPr>
          <w:rFonts w:asciiTheme="minorHAnsi" w:hAnsiTheme="minorHAnsi"/>
          <w:spacing w:val="-1"/>
          <w:sz w:val="24"/>
          <w:szCs w:val="24"/>
          <w:lang w:val="ru-RU"/>
        </w:rPr>
        <w:t>офарма</w:t>
      </w:r>
      <w:r w:rsidR="001B02B5" w:rsidRPr="004F3733">
        <w:rPr>
          <w:rFonts w:asciiTheme="minorHAnsi" w:hAnsiTheme="minorHAnsi"/>
          <w:spacing w:val="-1"/>
          <w:sz w:val="24"/>
          <w:szCs w:val="24"/>
          <w:lang w:val="ru-RU"/>
        </w:rPr>
        <w:t xml:space="preserve"> АД</w:t>
      </w:r>
      <w:r w:rsidR="001B02B5" w:rsidRPr="001B02B5">
        <w:rPr>
          <w:rFonts w:asciiTheme="minorHAnsi" w:hAnsiTheme="minorHAnsi"/>
          <w:spacing w:val="-1"/>
          <w:sz w:val="24"/>
          <w:szCs w:val="24"/>
          <w:lang w:val="ru-RU"/>
        </w:rPr>
        <w:t xml:space="preserve"> </w:t>
      </w:r>
      <w:r w:rsidR="00DD562B" w:rsidRPr="00893A2E">
        <w:rPr>
          <w:rFonts w:asciiTheme="minorHAnsi" w:hAnsiTheme="minorHAnsi"/>
          <w:spacing w:val="-1"/>
          <w:sz w:val="24"/>
          <w:szCs w:val="24"/>
          <w:lang w:val="ru-RU"/>
        </w:rPr>
        <w:t xml:space="preserve"> АД, ЕИК: 831902088, сключен на 31 Януари 2017 г. и на Допълнително споразумение № 1 от 20 Март 2017 г. към него; 20. </w:t>
      </w:r>
      <w:r w:rsidR="001B02B5">
        <w:rPr>
          <w:rFonts w:asciiTheme="minorHAnsi" w:hAnsiTheme="minorHAnsi"/>
          <w:spacing w:val="-1"/>
          <w:sz w:val="24"/>
          <w:szCs w:val="24"/>
          <w:lang w:val="ru-RU"/>
        </w:rPr>
        <w:t>ОСА о</w:t>
      </w:r>
      <w:r w:rsidR="00DD562B" w:rsidRPr="00893A2E">
        <w:rPr>
          <w:rFonts w:asciiTheme="minorHAnsi" w:hAnsiTheme="minorHAnsi"/>
          <w:spacing w:val="-1"/>
          <w:sz w:val="24"/>
          <w:szCs w:val="24"/>
          <w:lang w:val="ru-RU"/>
        </w:rPr>
        <w:t xml:space="preserve">добрява Доклада на Съвета на директорите на </w:t>
      </w:r>
      <w:r w:rsidR="001B02B5">
        <w:rPr>
          <w:rFonts w:asciiTheme="minorHAnsi" w:hAnsiTheme="minorHAnsi"/>
          <w:spacing w:val="-1"/>
          <w:sz w:val="24"/>
          <w:szCs w:val="24"/>
          <w:lang w:val="ru-RU"/>
        </w:rPr>
        <w:t>дружеството</w:t>
      </w:r>
      <w:r w:rsidR="00DD562B" w:rsidRPr="00893A2E">
        <w:rPr>
          <w:rFonts w:asciiTheme="minorHAnsi" w:hAnsiTheme="minorHAnsi"/>
          <w:spacing w:val="-1"/>
          <w:sz w:val="24"/>
          <w:szCs w:val="24"/>
          <w:lang w:val="ru-RU"/>
        </w:rPr>
        <w:t xml:space="preserve"> по чл. 262и от ТЗ; 21. </w:t>
      </w:r>
      <w:r w:rsidR="001B02B5">
        <w:rPr>
          <w:rFonts w:asciiTheme="minorHAnsi" w:hAnsiTheme="minorHAnsi"/>
          <w:spacing w:val="-1"/>
          <w:sz w:val="24"/>
          <w:szCs w:val="24"/>
          <w:lang w:val="ru-RU"/>
        </w:rPr>
        <w:t>ОСА о</w:t>
      </w:r>
      <w:r w:rsidR="00DD562B" w:rsidRPr="00893A2E">
        <w:rPr>
          <w:rFonts w:asciiTheme="minorHAnsi" w:hAnsiTheme="minorHAnsi"/>
          <w:spacing w:val="-1"/>
          <w:sz w:val="24"/>
          <w:szCs w:val="24"/>
          <w:lang w:val="ru-RU"/>
        </w:rPr>
        <w:t xml:space="preserve">добрява Доклада на проверителя по чл. 262м ТЗ относно преобразуването чрез вливане на </w:t>
      </w:r>
      <w:r w:rsidR="001B02B5" w:rsidRPr="004F3733">
        <w:rPr>
          <w:rFonts w:asciiTheme="minorHAnsi" w:hAnsiTheme="minorHAnsi"/>
          <w:spacing w:val="-1"/>
          <w:sz w:val="24"/>
          <w:szCs w:val="24"/>
          <w:lang w:val="ru-RU"/>
        </w:rPr>
        <w:t>М</w:t>
      </w:r>
      <w:r w:rsidR="001B02B5">
        <w:rPr>
          <w:rFonts w:asciiTheme="minorHAnsi" w:hAnsiTheme="minorHAnsi"/>
          <w:spacing w:val="-1"/>
          <w:sz w:val="24"/>
          <w:szCs w:val="24"/>
          <w:lang w:val="ru-RU"/>
        </w:rPr>
        <w:t>едика</w:t>
      </w:r>
      <w:r w:rsidR="00DD562B" w:rsidRPr="00893A2E">
        <w:rPr>
          <w:rFonts w:asciiTheme="minorHAnsi" w:hAnsiTheme="minorHAnsi"/>
          <w:spacing w:val="-1"/>
          <w:sz w:val="24"/>
          <w:szCs w:val="24"/>
          <w:lang w:val="ru-RU"/>
        </w:rPr>
        <w:t xml:space="preserve"> АД, ЕИК:  000000993, в </w:t>
      </w:r>
      <w:r w:rsidR="001B02B5" w:rsidRPr="004F3733">
        <w:rPr>
          <w:rFonts w:asciiTheme="minorHAnsi" w:hAnsiTheme="minorHAnsi"/>
          <w:spacing w:val="-1"/>
          <w:sz w:val="24"/>
          <w:szCs w:val="24"/>
          <w:lang w:val="ru-RU"/>
        </w:rPr>
        <w:t>С</w:t>
      </w:r>
      <w:r w:rsidR="001B02B5">
        <w:rPr>
          <w:rFonts w:asciiTheme="minorHAnsi" w:hAnsiTheme="minorHAnsi"/>
          <w:spacing w:val="-1"/>
          <w:sz w:val="24"/>
          <w:szCs w:val="24"/>
          <w:lang w:val="ru-RU"/>
        </w:rPr>
        <w:t>офарма</w:t>
      </w:r>
      <w:r w:rsidR="001B02B5" w:rsidRPr="004F3733">
        <w:rPr>
          <w:rFonts w:asciiTheme="minorHAnsi" w:hAnsiTheme="minorHAnsi"/>
          <w:spacing w:val="-1"/>
          <w:sz w:val="24"/>
          <w:szCs w:val="24"/>
          <w:lang w:val="ru-RU"/>
        </w:rPr>
        <w:t xml:space="preserve"> АД</w:t>
      </w:r>
      <w:r w:rsidR="00DD562B" w:rsidRPr="00893A2E">
        <w:rPr>
          <w:rFonts w:asciiTheme="minorHAnsi" w:hAnsiTheme="minorHAnsi"/>
          <w:spacing w:val="-1"/>
          <w:sz w:val="24"/>
          <w:szCs w:val="24"/>
          <w:lang w:val="ru-RU"/>
        </w:rPr>
        <w:t>, ЕИК: 831902088;</w:t>
      </w:r>
    </w:p>
    <w:p w:rsidR="00301781" w:rsidRPr="00893A2E" w:rsidRDefault="00050929" w:rsidP="00893A2E">
      <w:pPr>
        <w:pStyle w:val="ListParagraph"/>
        <w:widowControl w:val="0"/>
        <w:numPr>
          <w:ilvl w:val="0"/>
          <w:numId w:val="12"/>
        </w:numPr>
        <w:spacing w:after="0" w:line="240" w:lineRule="auto"/>
        <w:ind w:left="720"/>
        <w:jc w:val="both"/>
        <w:rPr>
          <w:rFonts w:asciiTheme="minorHAnsi" w:hAnsiTheme="minorHAnsi" w:cs="Calibri"/>
          <w:spacing w:val="-4"/>
          <w:sz w:val="24"/>
          <w:szCs w:val="24"/>
        </w:rPr>
      </w:pPr>
      <w:r w:rsidRPr="00893A2E">
        <w:rPr>
          <w:rFonts w:asciiTheme="minorHAnsi" w:hAnsiTheme="minorHAnsi" w:cs="Calibri"/>
          <w:spacing w:val="-4"/>
          <w:sz w:val="24"/>
          <w:szCs w:val="24"/>
        </w:rPr>
        <w:t xml:space="preserve">На 15.06.2017 г. </w:t>
      </w:r>
      <w:r w:rsidR="004D2886" w:rsidRPr="00396560">
        <w:rPr>
          <w:rFonts w:asciiTheme="minorHAnsi" w:hAnsiTheme="minorHAnsi" w:cs="Calibri"/>
          <w:spacing w:val="-4"/>
          <w:sz w:val="24"/>
          <w:szCs w:val="24"/>
        </w:rPr>
        <w:t xml:space="preserve">е </w:t>
      </w:r>
      <w:r w:rsidRPr="00893A2E">
        <w:rPr>
          <w:rFonts w:asciiTheme="minorHAnsi" w:hAnsiTheme="minorHAnsi" w:cs="Calibri"/>
          <w:spacing w:val="-4"/>
          <w:sz w:val="24"/>
          <w:szCs w:val="24"/>
        </w:rPr>
        <w:t xml:space="preserve">получено одобрение </w:t>
      </w:r>
      <w:r w:rsidRPr="00893A2E">
        <w:rPr>
          <w:rFonts w:asciiTheme="minorHAnsi" w:hAnsiTheme="minorHAnsi"/>
          <w:sz w:val="24"/>
          <w:szCs w:val="24"/>
        </w:rPr>
        <w:t>от Американската Комисия по ценните книжа и борсите</w:t>
      </w:r>
      <w:r w:rsidRPr="00893A2E" w:rsidDel="00050929">
        <w:rPr>
          <w:rFonts w:asciiTheme="minorHAnsi" w:hAnsiTheme="minorHAnsi" w:cs="Calibri"/>
          <w:spacing w:val="-4"/>
          <w:sz w:val="24"/>
          <w:szCs w:val="24"/>
        </w:rPr>
        <w:t xml:space="preserve"> </w:t>
      </w:r>
      <w:r w:rsidRPr="00893A2E">
        <w:rPr>
          <w:rFonts w:asciiTheme="minorHAnsi" w:hAnsiTheme="minorHAnsi" w:cs="Calibri"/>
          <w:spacing w:val="-4"/>
          <w:sz w:val="24"/>
          <w:szCs w:val="24"/>
        </w:rPr>
        <w:t xml:space="preserve">за </w:t>
      </w:r>
      <w:r w:rsidRPr="00893A2E">
        <w:rPr>
          <w:rFonts w:asciiTheme="minorHAnsi" w:hAnsiTheme="minorHAnsi"/>
          <w:sz w:val="24"/>
          <w:szCs w:val="24"/>
        </w:rPr>
        <w:t xml:space="preserve">вливането на Achieve Life Sciences в OncoGenex Pharmaceuticals. Акционерите на OncoGenex ще гласуват преобразуването на 1 август 2017 година, а в следствие на това новообразуваната компания ще започне да се търгува на NASDAQ с тикер </w:t>
      </w:r>
      <w:r w:rsidRPr="00893A2E">
        <w:rPr>
          <w:rFonts w:asciiTheme="minorHAnsi" w:hAnsiTheme="minorHAnsi"/>
          <w:color w:val="000000"/>
          <w:sz w:val="24"/>
          <w:szCs w:val="24"/>
        </w:rPr>
        <w:t>ACHV</w:t>
      </w:r>
      <w:r w:rsidRPr="00893A2E">
        <w:rPr>
          <w:rFonts w:asciiTheme="minorHAnsi" w:hAnsiTheme="minorHAnsi"/>
          <w:sz w:val="24"/>
          <w:szCs w:val="24"/>
        </w:rPr>
        <w:t>.</w:t>
      </w:r>
    </w:p>
    <w:p w:rsidR="00050929" w:rsidRPr="00893A2E" w:rsidRDefault="003A5835" w:rsidP="00050929">
      <w:pPr>
        <w:pStyle w:val="ListParagraph"/>
        <w:numPr>
          <w:ilvl w:val="0"/>
          <w:numId w:val="12"/>
        </w:numPr>
        <w:jc w:val="both"/>
        <w:rPr>
          <w:rFonts w:asciiTheme="minorHAnsi" w:hAnsiTheme="minorHAnsi"/>
          <w:sz w:val="24"/>
          <w:szCs w:val="24"/>
        </w:rPr>
      </w:pPr>
      <w:r w:rsidRPr="00893A2E">
        <w:rPr>
          <w:rFonts w:asciiTheme="minorHAnsi" w:hAnsiTheme="minorHAnsi"/>
          <w:sz w:val="24"/>
          <w:szCs w:val="24"/>
        </w:rPr>
        <w:t xml:space="preserve">На 21.06.2017 г. Софарма АД </w:t>
      </w:r>
      <w:r w:rsidR="00050929" w:rsidRPr="00893A2E">
        <w:rPr>
          <w:rFonts w:asciiTheme="minorHAnsi" w:hAnsiTheme="minorHAnsi"/>
          <w:sz w:val="24"/>
          <w:szCs w:val="24"/>
        </w:rPr>
        <w:t xml:space="preserve">уведомява за </w:t>
      </w:r>
      <w:r w:rsidR="00301781" w:rsidRPr="00893A2E">
        <w:rPr>
          <w:rFonts w:asciiTheme="minorHAnsi" w:hAnsiTheme="minorHAnsi"/>
          <w:sz w:val="24"/>
          <w:szCs w:val="24"/>
        </w:rPr>
        <w:t>р</w:t>
      </w:r>
      <w:r w:rsidR="00050929" w:rsidRPr="00893A2E">
        <w:rPr>
          <w:rFonts w:asciiTheme="minorHAnsi" w:hAnsiTheme="minorHAnsi"/>
          <w:sz w:val="24"/>
          <w:szCs w:val="24"/>
        </w:rPr>
        <w:t xml:space="preserve">езултатите от търгово предложение отправено от Софарма АД за закупуване на акциите на останалите акционери на Унифарм АД. Дружество, обект на предложението: Унифарм АД, с адрес на управление гр. София 1797, район Студентски, ж.к. Дървеница, ул. </w:t>
      </w:r>
      <w:r w:rsidR="001324FB" w:rsidRPr="00893A2E">
        <w:rPr>
          <w:rFonts w:asciiTheme="minorHAnsi" w:hAnsiTheme="minorHAnsi"/>
          <w:sz w:val="24"/>
          <w:szCs w:val="24"/>
        </w:rPr>
        <w:t>„</w:t>
      </w:r>
      <w:r w:rsidR="00050929" w:rsidRPr="00893A2E">
        <w:rPr>
          <w:rFonts w:asciiTheme="minorHAnsi" w:hAnsiTheme="minorHAnsi"/>
          <w:sz w:val="24"/>
          <w:szCs w:val="24"/>
        </w:rPr>
        <w:t>Трайко Станоев</w:t>
      </w:r>
      <w:r w:rsidR="001324FB" w:rsidRPr="00893A2E">
        <w:rPr>
          <w:rFonts w:asciiTheme="minorHAnsi" w:hAnsiTheme="minorHAnsi"/>
          <w:sz w:val="24"/>
          <w:szCs w:val="24"/>
        </w:rPr>
        <w:t>“</w:t>
      </w:r>
      <w:r w:rsidR="00050929" w:rsidRPr="00893A2E">
        <w:rPr>
          <w:rFonts w:asciiTheme="minorHAnsi" w:hAnsiTheme="minorHAnsi"/>
          <w:sz w:val="24"/>
          <w:szCs w:val="24"/>
        </w:rPr>
        <w:t xml:space="preserve"> №3; Търгов предложител: Софарма АД, с адрес: гр. София, район Надежда, ул. „Илиенско шосе“ №16. Упълномощен инвестиционен посредник: Елана Трейдинг АД, с адрес на управление: гр. София, район „Средец”, ул. „Кузман </w:t>
      </w:r>
      <w:r w:rsidR="00050929" w:rsidRPr="00893A2E">
        <w:rPr>
          <w:rFonts w:asciiTheme="minorHAnsi" w:hAnsiTheme="minorHAnsi"/>
          <w:sz w:val="24"/>
          <w:szCs w:val="24"/>
        </w:rPr>
        <w:lastRenderedPageBreak/>
        <w:t>Шапкарев” №4 и издаден от КФН лиценз за осъществяване на дейност като инвестиционен посредник въз основа на Решение № 171-ИП/08.03.2006 г. Предлагана цена за една акция: 4.35 (четири лева тридесет и пет стотинки) лв. Брой на лицата приели търговото предложение: 65 акционера с общ брой акции: 1 125 021, представляващи 18.75% от капитала на „Унифарм“ АД. В резултат на осъщественото търгово предлагане и след приключване на сделките с акционерите, които са го приели, Софарма АД ще притежава пряко 96.63% от акциите с право на глас на Унифарм АД. Софарма АД има право в тримесечен срок от крайния срок на търговото предложение да отправи след получаване на одобрение от КФН предложение за изкупуване на акциите на останалите акционери на Унифарм АД на основание чл. 157а от ЗППЦК. Наред с това, съгласно разпоредбите на чл. 157б от ЗППЦК всеки акционер има право да изиска от Софарма АД да изкупи неговите акции с право на глас до 19 септември 2017</w:t>
      </w:r>
      <w:r w:rsidR="00301781" w:rsidRPr="00893A2E">
        <w:rPr>
          <w:rFonts w:asciiTheme="minorHAnsi" w:hAnsiTheme="minorHAnsi"/>
          <w:sz w:val="24"/>
          <w:szCs w:val="24"/>
        </w:rPr>
        <w:t xml:space="preserve"> </w:t>
      </w:r>
      <w:r w:rsidR="00050929" w:rsidRPr="00893A2E">
        <w:rPr>
          <w:rFonts w:asciiTheme="minorHAnsi" w:hAnsiTheme="minorHAnsi"/>
          <w:sz w:val="24"/>
          <w:szCs w:val="24"/>
        </w:rPr>
        <w:t>г. Искането трябва да бъде в писмена форма и да съдържа данни за акционера и за притежаваните от него акции. Искането следва да се отправи до упълномощения инвестиционен посредник Елана Трейдинг АД. Цената за една акция на Унифарм АД по предложението по чл. 157а и при осъществяване на правата на акционерите по чл. 157б, съгласно разпоредбите на чл. 157а, ал. 3 е равна на цената в осъщественото търгово предлагане от 4.35 лв. за една акция.</w:t>
      </w:r>
      <w:r w:rsidR="00301781" w:rsidRPr="00893A2E">
        <w:rPr>
          <w:rFonts w:asciiTheme="minorHAnsi" w:hAnsiTheme="minorHAnsi"/>
          <w:sz w:val="24"/>
          <w:szCs w:val="24"/>
        </w:rPr>
        <w:t xml:space="preserve"> </w:t>
      </w:r>
      <w:r w:rsidR="00050929" w:rsidRPr="00893A2E">
        <w:rPr>
          <w:rFonts w:asciiTheme="minorHAnsi" w:hAnsiTheme="minorHAnsi"/>
          <w:sz w:val="24"/>
          <w:szCs w:val="24"/>
        </w:rPr>
        <w:t>Резултатите от търговото предложение са публикувани от търговия предложител във вестниците „Капитал Дейли“ и „Сега“ от 21.06.2017 година.</w:t>
      </w:r>
    </w:p>
    <w:p w:rsidR="000F2FDD" w:rsidRPr="00893A2E" w:rsidRDefault="003A5835" w:rsidP="00893A2E">
      <w:pPr>
        <w:pStyle w:val="ListParagraph"/>
        <w:numPr>
          <w:ilvl w:val="0"/>
          <w:numId w:val="12"/>
        </w:numPr>
        <w:spacing w:after="0" w:line="240" w:lineRule="auto"/>
        <w:jc w:val="both"/>
        <w:rPr>
          <w:color w:val="2D2B2B"/>
          <w:sz w:val="24"/>
          <w:szCs w:val="24"/>
          <w:shd w:val="clear" w:color="auto" w:fill="FFFFFF"/>
          <w:lang w:val="en-US"/>
        </w:rPr>
      </w:pPr>
      <w:r w:rsidRPr="00893A2E">
        <w:rPr>
          <w:rFonts w:asciiTheme="minorHAnsi" w:hAnsiTheme="minorHAnsi"/>
          <w:sz w:val="24"/>
          <w:szCs w:val="24"/>
        </w:rPr>
        <w:t>На 17.07.2017 г. Софарма АД уведомява, че в интерес на своите акционери на 24.07.2017 г</w:t>
      </w:r>
      <w:r w:rsidR="00301781" w:rsidRPr="00893A2E">
        <w:rPr>
          <w:rFonts w:asciiTheme="minorHAnsi" w:hAnsiTheme="minorHAnsi"/>
          <w:sz w:val="24"/>
          <w:szCs w:val="24"/>
        </w:rPr>
        <w:t>.</w:t>
      </w:r>
      <w:r w:rsidRPr="00893A2E">
        <w:rPr>
          <w:rFonts w:asciiTheme="minorHAnsi" w:hAnsiTheme="minorHAnsi"/>
          <w:sz w:val="24"/>
          <w:szCs w:val="24"/>
        </w:rPr>
        <w:t xml:space="preserve"> ще започне да изплаща дивидента гласуван на ОСА на 02.06.2017 година в размер на 10 стотинки на акция</w:t>
      </w:r>
      <w:r w:rsidR="000F2FDD" w:rsidRPr="00396560">
        <w:rPr>
          <w:rFonts w:eastAsia="Times New Roman"/>
          <w:color w:val="2D2B2B"/>
          <w:sz w:val="24"/>
          <w:szCs w:val="24"/>
          <w:shd w:val="clear" w:color="auto" w:fill="FFFFFF"/>
        </w:rPr>
        <w:t xml:space="preserve"> бруто</w:t>
      </w:r>
      <w:r w:rsidRPr="00893A2E">
        <w:rPr>
          <w:rFonts w:asciiTheme="minorHAnsi" w:hAnsiTheme="minorHAnsi"/>
          <w:sz w:val="24"/>
          <w:szCs w:val="24"/>
        </w:rPr>
        <w:t>.</w:t>
      </w:r>
      <w:r w:rsidR="000F2FDD" w:rsidRPr="00893A2E">
        <w:rPr>
          <w:rFonts w:asciiTheme="minorHAnsi" w:hAnsiTheme="minorHAnsi"/>
          <w:sz w:val="24"/>
          <w:szCs w:val="24"/>
          <w:lang w:val="en-US"/>
        </w:rPr>
        <w:t xml:space="preserve"> </w:t>
      </w:r>
      <w:r w:rsidR="000F2FDD" w:rsidRPr="008460C8">
        <w:rPr>
          <w:color w:val="2D2B2B"/>
          <w:sz w:val="24"/>
          <w:szCs w:val="24"/>
          <w:shd w:val="clear" w:color="auto" w:fill="FFFFFF"/>
        </w:rPr>
        <w:t>Размер на дивидента за една акция нето (само за акционери физически лица) - 0.095 лв</w:t>
      </w:r>
      <w:r w:rsidR="000F2FDD" w:rsidRPr="00FA7254">
        <w:rPr>
          <w:color w:val="2D2B2B"/>
          <w:sz w:val="24"/>
          <w:szCs w:val="24"/>
          <w:shd w:val="clear" w:color="auto" w:fill="FFFFFF"/>
          <w:lang w:val="en-US"/>
        </w:rPr>
        <w:t>.</w:t>
      </w:r>
    </w:p>
    <w:p w:rsidR="000F2FDD" w:rsidRDefault="000F2FDD" w:rsidP="00893A2E">
      <w:pPr>
        <w:pStyle w:val="ListParagraph"/>
        <w:numPr>
          <w:ilvl w:val="0"/>
          <w:numId w:val="12"/>
        </w:numPr>
        <w:spacing w:before="100" w:beforeAutospacing="1" w:after="100" w:afterAutospacing="1" w:line="240" w:lineRule="auto"/>
        <w:jc w:val="both"/>
        <w:rPr>
          <w:rFonts w:asciiTheme="minorHAnsi" w:eastAsia="Times New Roman" w:hAnsiTheme="minorHAnsi"/>
          <w:color w:val="2D2B2B"/>
          <w:sz w:val="24"/>
          <w:szCs w:val="24"/>
        </w:rPr>
      </w:pPr>
      <w:r w:rsidRPr="00893A2E">
        <w:rPr>
          <w:rFonts w:asciiTheme="minorHAnsi" w:hAnsiTheme="minorHAnsi"/>
          <w:sz w:val="24"/>
          <w:szCs w:val="24"/>
        </w:rPr>
        <w:t xml:space="preserve">На </w:t>
      </w:r>
      <w:r w:rsidRPr="00893A2E">
        <w:rPr>
          <w:rFonts w:asciiTheme="minorHAnsi" w:hAnsiTheme="minorHAnsi"/>
          <w:sz w:val="24"/>
          <w:szCs w:val="24"/>
          <w:lang w:val="en-US"/>
        </w:rPr>
        <w:t>21</w:t>
      </w:r>
      <w:r w:rsidRPr="00893A2E">
        <w:rPr>
          <w:rFonts w:asciiTheme="minorHAnsi" w:hAnsiTheme="minorHAnsi"/>
          <w:sz w:val="24"/>
          <w:szCs w:val="24"/>
        </w:rPr>
        <w:t xml:space="preserve">.07.2017 г. Софарма АД уведомява, </w:t>
      </w:r>
      <w:r w:rsidR="00B66C8B" w:rsidRPr="00893A2E">
        <w:rPr>
          <w:rFonts w:asciiTheme="minorHAnsi" w:hAnsiTheme="minorHAnsi"/>
          <w:sz w:val="24"/>
          <w:szCs w:val="24"/>
        </w:rPr>
        <w:t xml:space="preserve">че дружеството </w:t>
      </w:r>
      <w:r w:rsidRPr="00893A2E">
        <w:rPr>
          <w:rFonts w:asciiTheme="minorHAnsi" w:eastAsia="Times New Roman" w:hAnsiTheme="minorHAnsi"/>
          <w:color w:val="2D2B2B"/>
          <w:sz w:val="24"/>
          <w:szCs w:val="24"/>
        </w:rPr>
        <w:t xml:space="preserve">придоби 75% от успешния стартъп за разработване и маркетиране на хранителни добавки Аромания (www.arolife.bg). За близо двете години от учредяването си Аромания има регистрирани над 20 продукта, като за 12 от продуктите има регистрирана или подадена заявка за различен вид патентна защита – търговска марка, промишлен дизайн или полезен модел. Два от продуктите са водещи в своите категории. За 2016 година приходите от продажби на дружеството възлизат на 1 279 хиляди лева. Софарма </w:t>
      </w:r>
      <w:r w:rsidR="00B66C8B">
        <w:rPr>
          <w:rFonts w:asciiTheme="minorHAnsi" w:eastAsia="Times New Roman" w:hAnsiTheme="minorHAnsi"/>
          <w:color w:val="2D2B2B"/>
          <w:sz w:val="24"/>
          <w:szCs w:val="24"/>
        </w:rPr>
        <w:t xml:space="preserve">АД </w:t>
      </w:r>
      <w:r w:rsidRPr="00893A2E">
        <w:rPr>
          <w:rFonts w:asciiTheme="minorHAnsi" w:eastAsia="Times New Roman" w:hAnsiTheme="minorHAnsi"/>
          <w:color w:val="2D2B2B"/>
          <w:sz w:val="24"/>
          <w:szCs w:val="24"/>
        </w:rPr>
        <w:t>ще използва тази платформа за по-мащабно присъствие на пазара за хранителни добавки</w:t>
      </w:r>
      <w:r w:rsidR="00B66C8B">
        <w:rPr>
          <w:rFonts w:asciiTheme="minorHAnsi" w:eastAsia="Times New Roman" w:hAnsiTheme="minorHAnsi"/>
          <w:color w:val="2D2B2B"/>
          <w:sz w:val="24"/>
          <w:szCs w:val="24"/>
        </w:rPr>
        <w:t>.</w:t>
      </w:r>
    </w:p>
    <w:p w:rsidR="000A0779" w:rsidRDefault="000A0779" w:rsidP="001B413B">
      <w:pPr>
        <w:widowControl w:val="0"/>
        <w:suppressAutoHyphens/>
        <w:autoSpaceDN w:val="0"/>
        <w:spacing w:after="0" w:line="240" w:lineRule="auto"/>
        <w:ind w:left="720"/>
        <w:jc w:val="both"/>
        <w:textAlignment w:val="baseline"/>
        <w:rPr>
          <w:rFonts w:eastAsia="Calibri" w:cs="Calibri"/>
          <w:spacing w:val="-4"/>
          <w:sz w:val="24"/>
          <w:szCs w:val="24"/>
          <w:lang w:val="en-US"/>
        </w:rPr>
      </w:pPr>
    </w:p>
    <w:p w:rsidR="000A0779" w:rsidRDefault="000A0779" w:rsidP="00677345">
      <w:pPr>
        <w:pStyle w:val="Heading2"/>
        <w:rPr>
          <w:rFonts w:eastAsia="Calibri" w:cs="Calibri"/>
          <w:b/>
          <w:color w:val="365F91" w:themeColor="accent1" w:themeShade="BF"/>
          <w:spacing w:val="-4"/>
          <w:sz w:val="24"/>
          <w:szCs w:val="24"/>
        </w:rPr>
      </w:pPr>
      <w:bookmarkStart w:id="13" w:name="_Toc480984581"/>
      <w:r w:rsidRPr="00677345">
        <w:rPr>
          <w:rFonts w:asciiTheme="minorHAnsi" w:eastAsia="Calibri" w:hAnsiTheme="minorHAnsi"/>
          <w:b/>
          <w:color w:val="365F91" w:themeColor="accent1" w:themeShade="BF"/>
          <w:sz w:val="24"/>
          <w:szCs w:val="24"/>
          <w:lang w:val="en-US"/>
        </w:rPr>
        <w:t>5</w:t>
      </w:r>
      <w:r w:rsidRPr="00677345">
        <w:rPr>
          <w:rFonts w:asciiTheme="minorHAnsi" w:eastAsia="Calibri" w:hAnsiTheme="minorHAnsi"/>
          <w:b/>
          <w:color w:val="365F91" w:themeColor="accent1" w:themeShade="BF"/>
          <w:sz w:val="24"/>
          <w:szCs w:val="24"/>
        </w:rPr>
        <w:t>. Информация за сделки със свързани лица</w:t>
      </w:r>
      <w:bookmarkEnd w:id="13"/>
    </w:p>
    <w:p w:rsidR="000A0779" w:rsidRPr="00677345" w:rsidRDefault="000A0779" w:rsidP="000A0779">
      <w:pPr>
        <w:widowControl w:val="0"/>
        <w:suppressAutoHyphens/>
        <w:autoSpaceDN w:val="0"/>
        <w:spacing w:after="0" w:line="240" w:lineRule="auto"/>
        <w:jc w:val="both"/>
        <w:textAlignment w:val="baseline"/>
        <w:rPr>
          <w:rFonts w:eastAsia="Calibri" w:cs="Calibri"/>
          <w:spacing w:val="-4"/>
          <w:sz w:val="24"/>
          <w:szCs w:val="24"/>
        </w:rPr>
      </w:pPr>
      <w:r>
        <w:rPr>
          <w:rFonts w:eastAsia="Calibri" w:cs="Calibri"/>
          <w:b/>
          <w:color w:val="365F91" w:themeColor="accent1" w:themeShade="BF"/>
          <w:spacing w:val="-4"/>
          <w:sz w:val="24"/>
          <w:szCs w:val="24"/>
        </w:rPr>
        <w:tab/>
      </w:r>
      <w:r w:rsidRPr="00677345">
        <w:rPr>
          <w:rFonts w:eastAsia="Calibri" w:cs="Calibri"/>
          <w:spacing w:val="-4"/>
          <w:sz w:val="24"/>
          <w:szCs w:val="24"/>
        </w:rPr>
        <w:t>Информация</w:t>
      </w:r>
      <w:r w:rsidR="00BC5FDB">
        <w:rPr>
          <w:rFonts w:eastAsia="Calibri" w:cs="Calibri"/>
          <w:spacing w:val="-4"/>
          <w:sz w:val="24"/>
          <w:szCs w:val="24"/>
        </w:rPr>
        <w:t>та</w:t>
      </w:r>
      <w:r w:rsidRPr="00677345">
        <w:rPr>
          <w:rFonts w:eastAsia="Calibri" w:cs="Calibri"/>
          <w:spacing w:val="-4"/>
          <w:sz w:val="24"/>
          <w:szCs w:val="24"/>
        </w:rPr>
        <w:t xml:space="preserve"> за сделките със свързани лица е оповестена в </w:t>
      </w:r>
      <w:r w:rsidR="00BC5FDB" w:rsidRPr="00677345">
        <w:rPr>
          <w:rFonts w:eastAsia="Calibri" w:cs="Calibri"/>
          <w:spacing w:val="-4"/>
          <w:sz w:val="24"/>
          <w:szCs w:val="24"/>
        </w:rPr>
        <w:t>приложенията</w:t>
      </w:r>
      <w:r w:rsidRPr="00677345">
        <w:rPr>
          <w:rFonts w:eastAsia="Calibri" w:cs="Calibri"/>
          <w:spacing w:val="-4"/>
          <w:sz w:val="24"/>
          <w:szCs w:val="24"/>
        </w:rPr>
        <w:t xml:space="preserve"> към междинния </w:t>
      </w:r>
      <w:r w:rsidR="00BC5FDB" w:rsidRPr="00677345">
        <w:rPr>
          <w:rFonts w:eastAsia="Calibri" w:cs="Calibri"/>
          <w:spacing w:val="-4"/>
          <w:sz w:val="24"/>
          <w:szCs w:val="24"/>
        </w:rPr>
        <w:t xml:space="preserve">индивидуален </w:t>
      </w:r>
      <w:r w:rsidRPr="00677345">
        <w:rPr>
          <w:rFonts w:eastAsia="Calibri" w:cs="Calibri"/>
          <w:spacing w:val="-4"/>
          <w:sz w:val="24"/>
          <w:szCs w:val="24"/>
        </w:rPr>
        <w:t>финан</w:t>
      </w:r>
      <w:r w:rsidR="00BC5FDB" w:rsidRPr="00677345">
        <w:rPr>
          <w:rFonts w:eastAsia="Calibri" w:cs="Calibri"/>
          <w:spacing w:val="-4"/>
          <w:sz w:val="24"/>
          <w:szCs w:val="24"/>
        </w:rPr>
        <w:t>с</w:t>
      </w:r>
      <w:r w:rsidRPr="00677345">
        <w:rPr>
          <w:rFonts w:eastAsia="Calibri" w:cs="Calibri"/>
          <w:spacing w:val="-4"/>
          <w:sz w:val="24"/>
          <w:szCs w:val="24"/>
        </w:rPr>
        <w:t>ов отчет</w:t>
      </w:r>
      <w:r w:rsidR="00BC5FDB" w:rsidRPr="00677345">
        <w:rPr>
          <w:rFonts w:eastAsia="Calibri" w:cs="Calibri"/>
          <w:spacing w:val="-4"/>
          <w:sz w:val="24"/>
          <w:szCs w:val="24"/>
        </w:rPr>
        <w:t>.</w:t>
      </w:r>
    </w:p>
    <w:p w:rsidR="000A0779" w:rsidRDefault="000A0779" w:rsidP="00677345">
      <w:pPr>
        <w:widowControl w:val="0"/>
        <w:suppressAutoHyphens/>
        <w:autoSpaceDN w:val="0"/>
        <w:spacing w:after="0" w:line="240" w:lineRule="auto"/>
        <w:jc w:val="both"/>
        <w:textAlignment w:val="baseline"/>
        <w:rPr>
          <w:rFonts w:eastAsia="Calibri" w:cs="Calibri"/>
          <w:spacing w:val="-4"/>
          <w:sz w:val="24"/>
          <w:szCs w:val="24"/>
          <w:lang w:val="en-US"/>
        </w:rPr>
      </w:pPr>
    </w:p>
    <w:p w:rsidR="00501A46" w:rsidRDefault="00DC16DF" w:rsidP="00677345">
      <w:pPr>
        <w:pStyle w:val="Heading2"/>
        <w:rPr>
          <w:rFonts w:eastAsia="Calibri" w:cs="Calibri"/>
          <w:sz w:val="24"/>
          <w:szCs w:val="24"/>
        </w:rPr>
      </w:pPr>
      <w:bookmarkStart w:id="14" w:name="_Toc480984582"/>
      <w:r w:rsidRPr="00677345">
        <w:rPr>
          <w:rFonts w:asciiTheme="minorHAnsi" w:eastAsia="Calibri" w:hAnsiTheme="minorHAnsi"/>
          <w:b/>
          <w:color w:val="365F91" w:themeColor="accent1" w:themeShade="BF"/>
          <w:lang w:val="en-US"/>
        </w:rPr>
        <w:t>III</w:t>
      </w:r>
      <w:r w:rsidR="009C2E37" w:rsidRPr="00677345">
        <w:rPr>
          <w:rFonts w:asciiTheme="minorHAnsi" w:eastAsia="Calibri" w:hAnsiTheme="minorHAnsi"/>
          <w:b/>
          <w:color w:val="365F91" w:themeColor="accent1" w:themeShade="BF"/>
        </w:rPr>
        <w:t>. Информация за акциите на Софарма АД</w:t>
      </w:r>
      <w:bookmarkEnd w:id="14"/>
    </w:p>
    <w:p w:rsidR="003A2648" w:rsidRDefault="003A2648" w:rsidP="009C2E37">
      <w:pPr>
        <w:widowControl w:val="0"/>
        <w:autoSpaceDE w:val="0"/>
        <w:autoSpaceDN w:val="0"/>
        <w:adjustRightInd w:val="0"/>
        <w:spacing w:after="0" w:line="240" w:lineRule="auto"/>
        <w:ind w:firstLine="720"/>
        <w:jc w:val="both"/>
        <w:rPr>
          <w:rFonts w:asciiTheme="minorHAnsi" w:hAnsiTheme="minorHAnsi"/>
          <w:bCs/>
          <w:sz w:val="24"/>
          <w:szCs w:val="24"/>
        </w:rPr>
      </w:pPr>
      <w:r>
        <w:rPr>
          <w:rFonts w:eastAsia="Calibri" w:cs="Calibri"/>
          <w:sz w:val="24"/>
          <w:szCs w:val="24"/>
        </w:rPr>
        <w:t xml:space="preserve">Общият брой на издадените към </w:t>
      </w:r>
      <w:r w:rsidR="00216D2C">
        <w:rPr>
          <w:rFonts w:eastAsia="Calibri" w:cs="Calibri"/>
          <w:sz w:val="24"/>
          <w:szCs w:val="24"/>
        </w:rPr>
        <w:t>30</w:t>
      </w:r>
      <w:r>
        <w:rPr>
          <w:rFonts w:eastAsia="Calibri" w:cs="Calibri"/>
          <w:sz w:val="24"/>
          <w:szCs w:val="24"/>
        </w:rPr>
        <w:t>.</w:t>
      </w:r>
      <w:r w:rsidR="00216D2C">
        <w:rPr>
          <w:rFonts w:eastAsia="Calibri" w:cs="Calibri"/>
          <w:sz w:val="24"/>
          <w:szCs w:val="24"/>
        </w:rPr>
        <w:t>06</w:t>
      </w:r>
      <w:r>
        <w:rPr>
          <w:rFonts w:eastAsia="Calibri" w:cs="Calibri"/>
          <w:sz w:val="24"/>
          <w:szCs w:val="24"/>
        </w:rPr>
        <w:t>.201</w:t>
      </w:r>
      <w:r w:rsidR="00F80195">
        <w:rPr>
          <w:rFonts w:eastAsia="Calibri" w:cs="Calibri"/>
          <w:sz w:val="24"/>
          <w:szCs w:val="24"/>
        </w:rPr>
        <w:t>7</w:t>
      </w:r>
      <w:r>
        <w:rPr>
          <w:rFonts w:eastAsia="Calibri" w:cs="Calibri"/>
          <w:sz w:val="24"/>
          <w:szCs w:val="24"/>
        </w:rPr>
        <w:t xml:space="preserve"> г. акции от Софарма АД е </w:t>
      </w:r>
      <w:r w:rsidRPr="004B3BF0">
        <w:rPr>
          <w:sz w:val="24"/>
          <w:szCs w:val="24"/>
          <w:lang w:val="ru-RU"/>
        </w:rPr>
        <w:t>134</w:t>
      </w:r>
      <w:r w:rsidRPr="004B3BF0">
        <w:rPr>
          <w:sz w:val="24"/>
          <w:szCs w:val="24"/>
        </w:rPr>
        <w:t> 797 899</w:t>
      </w:r>
      <w:r>
        <w:rPr>
          <w:rFonts w:eastAsia="Calibri" w:cs="Calibri"/>
          <w:sz w:val="24"/>
          <w:szCs w:val="24"/>
        </w:rPr>
        <w:t xml:space="preserve"> броя с номинална стойност от 1 лв. на акция. Всички емитирани акции са поименни, безналични, обикновени и неделими, съгласно Устава на дружеството. Всички издадени акции са от един клас. </w:t>
      </w:r>
      <w:r w:rsidRPr="003B55BA">
        <w:rPr>
          <w:rFonts w:asciiTheme="minorHAnsi" w:hAnsiTheme="minorHAnsi"/>
          <w:bCs/>
          <w:sz w:val="24"/>
          <w:szCs w:val="24"/>
        </w:rPr>
        <w:t>Всяка акция дава право на един глас в Общото събрание на акционерите, право на дивидент и на ликвидационен дял, съразмерни  с номиналната стойност на акцията.</w:t>
      </w:r>
    </w:p>
    <w:p w:rsidR="003A2648" w:rsidRPr="00AE6DEE" w:rsidRDefault="003A2648" w:rsidP="009C2E37">
      <w:pPr>
        <w:widowControl w:val="0"/>
        <w:autoSpaceDE w:val="0"/>
        <w:autoSpaceDN w:val="0"/>
        <w:adjustRightInd w:val="0"/>
        <w:spacing w:after="240" w:line="240" w:lineRule="auto"/>
        <w:ind w:firstLine="720"/>
        <w:jc w:val="both"/>
        <w:rPr>
          <w:rFonts w:eastAsia="Calibri" w:cs="Calibri"/>
          <w:sz w:val="24"/>
          <w:szCs w:val="24"/>
        </w:rPr>
      </w:pPr>
      <w:r w:rsidRPr="003B55BA">
        <w:rPr>
          <w:rFonts w:asciiTheme="minorHAnsi" w:hAnsiTheme="minorHAnsi"/>
          <w:bCs/>
          <w:sz w:val="24"/>
          <w:szCs w:val="24"/>
        </w:rPr>
        <w:t xml:space="preserve">Акциите на </w:t>
      </w:r>
      <w:r w:rsidR="009C2E37">
        <w:rPr>
          <w:rFonts w:asciiTheme="minorHAnsi" w:hAnsiTheme="minorHAnsi"/>
          <w:bCs/>
          <w:sz w:val="24"/>
          <w:szCs w:val="24"/>
        </w:rPr>
        <w:t>Д</w:t>
      </w:r>
      <w:r w:rsidRPr="003B55BA">
        <w:rPr>
          <w:rFonts w:asciiTheme="minorHAnsi" w:hAnsiTheme="minorHAnsi"/>
          <w:bCs/>
          <w:sz w:val="24"/>
          <w:szCs w:val="24"/>
        </w:rPr>
        <w:t>ружеството се търгуват на Българска фондова борса-София АД, Основен пазар</w:t>
      </w:r>
      <w:r w:rsidRPr="003B55BA">
        <w:rPr>
          <w:rFonts w:asciiTheme="minorHAnsi" w:hAnsiTheme="minorHAnsi"/>
          <w:sz w:val="24"/>
          <w:szCs w:val="24"/>
          <w:lang w:val="ru-RU"/>
        </w:rPr>
        <w:t xml:space="preserve"> (</w:t>
      </w:r>
      <w:r w:rsidRPr="003B55BA">
        <w:rPr>
          <w:rFonts w:asciiTheme="minorHAnsi" w:hAnsiTheme="minorHAnsi"/>
          <w:sz w:val="24"/>
          <w:szCs w:val="24"/>
          <w:lang w:val="en-US"/>
        </w:rPr>
        <w:t>BSE</w:t>
      </w:r>
      <w:r w:rsidRPr="003B55BA">
        <w:rPr>
          <w:rFonts w:asciiTheme="minorHAnsi" w:hAnsiTheme="minorHAnsi"/>
          <w:sz w:val="24"/>
          <w:szCs w:val="24"/>
          <w:lang w:val="ru-RU"/>
        </w:rPr>
        <w:t>)</w:t>
      </w:r>
      <w:r w:rsidRPr="003B55BA">
        <w:rPr>
          <w:rFonts w:asciiTheme="minorHAnsi" w:hAnsiTheme="minorHAnsi"/>
          <w:bCs/>
          <w:sz w:val="24"/>
          <w:szCs w:val="24"/>
        </w:rPr>
        <w:t xml:space="preserve">, Сегмент акции </w:t>
      </w:r>
      <w:r w:rsidRPr="003B55BA">
        <w:rPr>
          <w:rFonts w:asciiTheme="minorHAnsi" w:hAnsiTheme="minorHAnsi"/>
          <w:bCs/>
          <w:sz w:val="24"/>
          <w:szCs w:val="24"/>
          <w:lang w:val="en-US"/>
        </w:rPr>
        <w:t>PREMIUM</w:t>
      </w:r>
      <w:r>
        <w:rPr>
          <w:rFonts w:asciiTheme="minorHAnsi" w:hAnsiTheme="minorHAnsi"/>
          <w:bCs/>
          <w:sz w:val="24"/>
          <w:szCs w:val="24"/>
          <w:lang w:val="en-US"/>
        </w:rPr>
        <w:t xml:space="preserve"> </w:t>
      </w:r>
      <w:r>
        <w:rPr>
          <w:rFonts w:eastAsia="Calibri" w:cs="Calibri"/>
          <w:sz w:val="24"/>
          <w:szCs w:val="24"/>
        </w:rPr>
        <w:t>и на официалния пазар на Варшавската фондова борса. Акциите участват във формирането на индексите SOFIX, BGBX40 и BGTR30 на БФБ - София АД.</w:t>
      </w:r>
      <w:r w:rsidR="009C2E37">
        <w:rPr>
          <w:rFonts w:eastAsia="Calibri" w:cs="Calibri"/>
          <w:sz w:val="24"/>
          <w:szCs w:val="24"/>
        </w:rPr>
        <w:t xml:space="preserve"> </w:t>
      </w:r>
      <w:r>
        <w:rPr>
          <w:rFonts w:eastAsia="Calibri" w:cs="Calibri"/>
          <w:sz w:val="24"/>
          <w:szCs w:val="24"/>
        </w:rPr>
        <w:t>Акциите на дружеството са включени в индексите Dow Jones STOXX EU Enlarged Total Market Index с тегло 0,11%, с тежест от 5% в Erste Bank Bulgaria Basket, в сертификата на Райфайзенбанк – Raiffeisen Osteuropa Fonds, както и в blue-chip индекс Dow Jones STOXX Balkan 50 Equal Weighted Index.</w:t>
      </w:r>
      <w:r w:rsidR="009C2E37">
        <w:rPr>
          <w:rFonts w:eastAsia="Calibri" w:cs="Calibri"/>
          <w:sz w:val="24"/>
          <w:szCs w:val="24"/>
        </w:rPr>
        <w:t xml:space="preserve"> </w:t>
      </w:r>
      <w:r>
        <w:rPr>
          <w:rFonts w:eastAsia="Calibri" w:cs="Calibri"/>
          <w:sz w:val="24"/>
          <w:szCs w:val="24"/>
        </w:rPr>
        <w:t>Софарма АД е една от трите български компании, включени в индекс за Централна и Източна Европа (ЦИЕ</w:t>
      </w:r>
      <w:r w:rsidR="009C2E37">
        <w:rPr>
          <w:rFonts w:eastAsia="Calibri" w:cs="Calibri"/>
          <w:sz w:val="24"/>
          <w:szCs w:val="24"/>
        </w:rPr>
        <w:t>)</w:t>
      </w:r>
      <w:r>
        <w:rPr>
          <w:rFonts w:eastAsia="Calibri" w:cs="Calibri"/>
          <w:sz w:val="24"/>
          <w:szCs w:val="24"/>
        </w:rPr>
        <w:t>. Индексът се казва WIG-CEE и е третият след WIG-Полша и WIG-Украйна, който е базиран на произхода на компаниите по държави. WIG-CEE се изчислява на база обща доходност и вклю</w:t>
      </w:r>
      <w:r w:rsidRPr="00AE6DEE">
        <w:rPr>
          <w:rFonts w:eastAsia="Calibri" w:cs="Calibri"/>
          <w:sz w:val="24"/>
          <w:szCs w:val="24"/>
        </w:rPr>
        <w:t>чва и доходност от дивиденти и права за записване на акции.</w:t>
      </w:r>
    </w:p>
    <w:p w:rsidR="003A2648" w:rsidRPr="00313D6C" w:rsidRDefault="003A2648" w:rsidP="003A2648">
      <w:pPr>
        <w:keepNext/>
        <w:suppressAutoHyphens/>
        <w:autoSpaceDN w:val="0"/>
        <w:spacing w:before="40" w:after="40" w:line="240" w:lineRule="auto"/>
        <w:jc w:val="both"/>
        <w:textAlignment w:val="baseline"/>
        <w:rPr>
          <w:b/>
          <w:color w:val="1F497D"/>
        </w:rPr>
      </w:pPr>
    </w:p>
    <w:p w:rsidR="003A2648" w:rsidRPr="009C2E37" w:rsidRDefault="003A2648" w:rsidP="003A2648">
      <w:pPr>
        <w:keepNext/>
        <w:suppressAutoHyphens/>
        <w:autoSpaceDN w:val="0"/>
        <w:spacing w:before="40" w:after="40" w:line="240" w:lineRule="auto"/>
        <w:jc w:val="both"/>
        <w:textAlignment w:val="baseline"/>
        <w:rPr>
          <w:rFonts w:eastAsia="Calibri"/>
          <w:b/>
          <w:i/>
          <w:sz w:val="28"/>
          <w:szCs w:val="28"/>
          <w:lang w:eastAsia="en-US"/>
        </w:rPr>
      </w:pPr>
      <w:r w:rsidRPr="009C2E37">
        <w:rPr>
          <w:rFonts w:eastAsia="Calibri"/>
          <w:i/>
          <w:color w:val="1F497D"/>
          <w:sz w:val="24"/>
          <w:szCs w:val="24"/>
          <w:lang w:eastAsia="en-US"/>
        </w:rPr>
        <w:t>Съществени показатели за акциите на Софарма АД</w:t>
      </w:r>
      <w:r w:rsidR="00650004" w:rsidRPr="00BC3A4B">
        <w:rPr>
          <w:rFonts w:eastAsia="Calibri"/>
          <w:b/>
          <w:i/>
          <w:sz w:val="28"/>
          <w:szCs w:val="28"/>
          <w:lang w:eastAsia="en-US"/>
        </w:rPr>
        <w:fldChar w:fldCharType="begin"/>
      </w:r>
      <w:r w:rsidRPr="009C2E37">
        <w:rPr>
          <w:rFonts w:eastAsia="Calibri"/>
          <w:b/>
          <w:i/>
          <w:sz w:val="28"/>
          <w:szCs w:val="28"/>
          <w:lang w:eastAsia="en-US"/>
        </w:rPr>
        <w:instrText xml:space="preserve"> LINK Excel.Sheet.8 "D:\\Users\\EKostov\\Documents\\Copy of 2011otchet_adv.xls" Sheet1!R15C1:R19C4 \a \f 4 \h  \* MERGEFORMAT </w:instrText>
      </w:r>
      <w:r w:rsidR="00650004" w:rsidRPr="00BC3A4B">
        <w:rPr>
          <w:rFonts w:eastAsia="Calibri"/>
          <w:b/>
          <w:i/>
          <w:sz w:val="28"/>
          <w:szCs w:val="28"/>
          <w:lang w:eastAsia="en-US"/>
        </w:rPr>
        <w:fldChar w:fldCharType="separate"/>
      </w:r>
    </w:p>
    <w:tbl>
      <w:tblPr>
        <w:tblW w:w="9361" w:type="dxa"/>
        <w:tblInd w:w="108" w:type="dxa"/>
        <w:tblLook w:val="04A0" w:firstRow="1" w:lastRow="0" w:firstColumn="1" w:lastColumn="0" w:noHBand="0" w:noVBand="1"/>
      </w:tblPr>
      <w:tblGrid>
        <w:gridCol w:w="6485"/>
        <w:gridCol w:w="1438"/>
        <w:gridCol w:w="1438"/>
      </w:tblGrid>
      <w:tr w:rsidR="003A2648" w:rsidRPr="00BC3A4B" w:rsidTr="00D5231C">
        <w:trPr>
          <w:trHeight w:val="281"/>
        </w:trPr>
        <w:tc>
          <w:tcPr>
            <w:tcW w:w="6485" w:type="dxa"/>
            <w:vMerge w:val="restart"/>
            <w:vAlign w:val="center"/>
            <w:hideMark/>
          </w:tcPr>
          <w:p w:rsidR="003A2648" w:rsidRPr="00BC3A4B" w:rsidRDefault="003A2648" w:rsidP="00D5231C">
            <w:pPr>
              <w:spacing w:after="0" w:line="240" w:lineRule="auto"/>
              <w:rPr>
                <w:sz w:val="20"/>
                <w:szCs w:val="20"/>
                <w:lang w:val="en-US" w:eastAsia="en-US"/>
              </w:rPr>
            </w:pPr>
          </w:p>
        </w:tc>
        <w:tc>
          <w:tcPr>
            <w:tcW w:w="1438" w:type="dxa"/>
            <w:shd w:val="clear" w:color="auto" w:fill="DCE6F1"/>
            <w:noWrap/>
            <w:vAlign w:val="bottom"/>
            <w:hideMark/>
          </w:tcPr>
          <w:p w:rsidR="003A2648" w:rsidRPr="00BC3A4B" w:rsidRDefault="003A2648" w:rsidP="00BC38C9">
            <w:pPr>
              <w:spacing w:after="0" w:line="240" w:lineRule="auto"/>
              <w:jc w:val="right"/>
              <w:rPr>
                <w:rFonts w:eastAsia="Times New Roman" w:cs="Calibri"/>
                <w:b/>
                <w:bCs/>
                <w:sz w:val="20"/>
                <w:szCs w:val="20"/>
                <w:lang w:eastAsia="en-US"/>
              </w:rPr>
            </w:pPr>
            <w:r w:rsidRPr="00BC3A4B">
              <w:rPr>
                <w:rFonts w:eastAsia="Times New Roman" w:cs="Calibri"/>
                <w:b/>
                <w:bCs/>
                <w:sz w:val="20"/>
                <w:szCs w:val="20"/>
                <w:lang w:eastAsia="en-US"/>
              </w:rPr>
              <w:t>3</w:t>
            </w:r>
            <w:r w:rsidR="00BC38C9">
              <w:rPr>
                <w:rFonts w:eastAsia="Times New Roman" w:cs="Calibri"/>
                <w:b/>
                <w:bCs/>
                <w:sz w:val="20"/>
                <w:szCs w:val="20"/>
                <w:lang w:eastAsia="en-US"/>
              </w:rPr>
              <w:t>0</w:t>
            </w:r>
            <w:r w:rsidRPr="00BC3A4B">
              <w:rPr>
                <w:rFonts w:eastAsia="Times New Roman" w:cs="Calibri"/>
                <w:b/>
                <w:bCs/>
                <w:sz w:val="20"/>
                <w:szCs w:val="20"/>
                <w:lang w:eastAsia="en-US"/>
              </w:rPr>
              <w:t>.</w:t>
            </w:r>
            <w:r w:rsidR="005624D6">
              <w:rPr>
                <w:rFonts w:eastAsia="Times New Roman" w:cs="Calibri"/>
                <w:b/>
                <w:bCs/>
                <w:sz w:val="20"/>
                <w:szCs w:val="20"/>
                <w:lang w:eastAsia="en-US"/>
              </w:rPr>
              <w:t>0</w:t>
            </w:r>
            <w:r w:rsidR="00BC38C9">
              <w:rPr>
                <w:rFonts w:eastAsia="Times New Roman" w:cs="Calibri"/>
                <w:b/>
                <w:bCs/>
                <w:sz w:val="20"/>
                <w:szCs w:val="20"/>
                <w:lang w:eastAsia="en-US"/>
              </w:rPr>
              <w:t>6</w:t>
            </w:r>
            <w:r w:rsidRPr="00BC3A4B">
              <w:rPr>
                <w:rFonts w:eastAsia="Times New Roman" w:cs="Calibri"/>
                <w:b/>
                <w:bCs/>
                <w:sz w:val="20"/>
                <w:szCs w:val="20"/>
                <w:lang w:eastAsia="en-US"/>
              </w:rPr>
              <w:t>.201</w:t>
            </w:r>
            <w:r w:rsidR="005624D6">
              <w:rPr>
                <w:rFonts w:eastAsia="Times New Roman" w:cs="Calibri"/>
                <w:b/>
                <w:bCs/>
                <w:sz w:val="20"/>
                <w:szCs w:val="20"/>
                <w:lang w:eastAsia="en-US"/>
              </w:rPr>
              <w:t>7</w:t>
            </w:r>
          </w:p>
        </w:tc>
        <w:tc>
          <w:tcPr>
            <w:tcW w:w="1438" w:type="dxa"/>
            <w:shd w:val="clear" w:color="auto" w:fill="C5D9F1"/>
            <w:noWrap/>
            <w:vAlign w:val="bottom"/>
            <w:hideMark/>
          </w:tcPr>
          <w:p w:rsidR="003A2648" w:rsidRPr="00BC3A4B" w:rsidRDefault="003A2648" w:rsidP="00FC04C8">
            <w:pPr>
              <w:spacing w:after="0" w:line="240" w:lineRule="auto"/>
              <w:jc w:val="right"/>
              <w:rPr>
                <w:rFonts w:eastAsia="Times New Roman" w:cs="Calibri"/>
                <w:b/>
                <w:bCs/>
                <w:sz w:val="20"/>
                <w:szCs w:val="20"/>
                <w:lang w:eastAsia="en-US"/>
              </w:rPr>
            </w:pPr>
            <w:r w:rsidRPr="00BC3A4B">
              <w:rPr>
                <w:rFonts w:eastAsia="Times New Roman" w:cs="Calibri"/>
                <w:b/>
                <w:bCs/>
                <w:sz w:val="20"/>
                <w:szCs w:val="20"/>
                <w:lang w:eastAsia="en-US"/>
              </w:rPr>
              <w:t>3</w:t>
            </w:r>
            <w:r w:rsidR="00BC38C9">
              <w:rPr>
                <w:rFonts w:eastAsia="Times New Roman" w:cs="Calibri"/>
                <w:b/>
                <w:bCs/>
                <w:sz w:val="20"/>
                <w:szCs w:val="20"/>
                <w:lang w:eastAsia="en-US"/>
              </w:rPr>
              <w:t>0</w:t>
            </w:r>
            <w:r w:rsidRPr="00BC3A4B">
              <w:rPr>
                <w:rFonts w:eastAsia="Times New Roman" w:cs="Calibri"/>
                <w:b/>
                <w:bCs/>
                <w:sz w:val="20"/>
                <w:szCs w:val="20"/>
                <w:lang w:eastAsia="en-US"/>
              </w:rPr>
              <w:t>.</w:t>
            </w:r>
            <w:r w:rsidR="005624D6">
              <w:rPr>
                <w:rFonts w:eastAsia="Times New Roman" w:cs="Calibri"/>
                <w:b/>
                <w:bCs/>
                <w:sz w:val="20"/>
                <w:szCs w:val="20"/>
                <w:lang w:eastAsia="en-US"/>
              </w:rPr>
              <w:t>0</w:t>
            </w:r>
            <w:r w:rsidR="00BC38C9">
              <w:rPr>
                <w:rFonts w:eastAsia="Times New Roman" w:cs="Calibri"/>
                <w:b/>
                <w:bCs/>
                <w:sz w:val="20"/>
                <w:szCs w:val="20"/>
                <w:lang w:eastAsia="en-US"/>
              </w:rPr>
              <w:t>6</w:t>
            </w:r>
            <w:r w:rsidRPr="00BC3A4B">
              <w:rPr>
                <w:rFonts w:eastAsia="Times New Roman" w:cs="Calibri"/>
                <w:b/>
                <w:bCs/>
                <w:sz w:val="20"/>
                <w:szCs w:val="20"/>
                <w:lang w:eastAsia="en-US"/>
              </w:rPr>
              <w:t>.201</w:t>
            </w:r>
            <w:r w:rsidR="005624D6">
              <w:rPr>
                <w:rFonts w:eastAsia="Times New Roman" w:cs="Calibri"/>
                <w:b/>
                <w:bCs/>
                <w:sz w:val="20"/>
                <w:szCs w:val="20"/>
                <w:lang w:eastAsia="en-US"/>
              </w:rPr>
              <w:t>6</w:t>
            </w:r>
          </w:p>
        </w:tc>
      </w:tr>
      <w:tr w:rsidR="003A2648" w:rsidRPr="00BC3A4B" w:rsidTr="00D5231C">
        <w:trPr>
          <w:trHeight w:val="322"/>
        </w:trPr>
        <w:tc>
          <w:tcPr>
            <w:tcW w:w="0" w:type="auto"/>
            <w:vMerge/>
            <w:vAlign w:val="center"/>
            <w:hideMark/>
          </w:tcPr>
          <w:p w:rsidR="003A2648" w:rsidRPr="00BC3A4B" w:rsidRDefault="003A2648" w:rsidP="00D5231C">
            <w:pPr>
              <w:spacing w:after="0" w:line="240" w:lineRule="auto"/>
              <w:rPr>
                <w:sz w:val="20"/>
                <w:szCs w:val="20"/>
                <w:lang w:val="en-US" w:eastAsia="en-US"/>
              </w:rPr>
            </w:pPr>
          </w:p>
        </w:tc>
        <w:tc>
          <w:tcPr>
            <w:tcW w:w="1438" w:type="dxa"/>
            <w:shd w:val="clear" w:color="auto" w:fill="DCE6F1"/>
            <w:noWrap/>
            <w:vAlign w:val="bottom"/>
          </w:tcPr>
          <w:p w:rsidR="003A2648" w:rsidRPr="00BC3A4B" w:rsidRDefault="003A2648" w:rsidP="00D5231C">
            <w:pPr>
              <w:spacing w:after="0" w:line="240" w:lineRule="auto"/>
              <w:jc w:val="right"/>
              <w:rPr>
                <w:rFonts w:eastAsia="Times New Roman" w:cs="Calibri"/>
                <w:b/>
                <w:bCs/>
                <w:i/>
                <w:iCs/>
                <w:sz w:val="20"/>
                <w:szCs w:val="20"/>
                <w:lang w:eastAsia="en-US"/>
              </w:rPr>
            </w:pPr>
          </w:p>
        </w:tc>
        <w:tc>
          <w:tcPr>
            <w:tcW w:w="1438" w:type="dxa"/>
            <w:shd w:val="clear" w:color="auto" w:fill="C5D9F1"/>
            <w:noWrap/>
            <w:vAlign w:val="bottom"/>
          </w:tcPr>
          <w:p w:rsidR="003A2648" w:rsidRPr="00BC3A4B" w:rsidRDefault="003A2648" w:rsidP="00D5231C">
            <w:pPr>
              <w:spacing w:after="0" w:line="240" w:lineRule="auto"/>
              <w:jc w:val="right"/>
              <w:rPr>
                <w:rFonts w:eastAsia="Times New Roman" w:cs="Calibri"/>
                <w:b/>
                <w:bCs/>
                <w:i/>
                <w:iCs/>
                <w:sz w:val="20"/>
                <w:szCs w:val="20"/>
                <w:lang w:eastAsia="en-US"/>
              </w:rPr>
            </w:pPr>
          </w:p>
        </w:tc>
      </w:tr>
      <w:tr w:rsidR="003A2648" w:rsidRPr="00BC3A4B" w:rsidTr="00D5231C">
        <w:trPr>
          <w:trHeight w:val="269"/>
        </w:trPr>
        <w:tc>
          <w:tcPr>
            <w:tcW w:w="6485" w:type="dxa"/>
            <w:vAlign w:val="bottom"/>
            <w:hideMark/>
          </w:tcPr>
          <w:p w:rsidR="003A2648" w:rsidRPr="00BC3A4B" w:rsidRDefault="003A264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Общ брой емитирани акции</w:t>
            </w:r>
          </w:p>
        </w:tc>
        <w:tc>
          <w:tcPr>
            <w:tcW w:w="1438" w:type="dxa"/>
            <w:shd w:val="clear" w:color="auto" w:fill="DCE6F1"/>
            <w:vAlign w:val="bottom"/>
            <w:hideMark/>
          </w:tcPr>
          <w:p w:rsidR="003A2648" w:rsidRPr="00BC3A4B" w:rsidRDefault="003A2648" w:rsidP="00D5231C">
            <w:pPr>
              <w:spacing w:after="0" w:line="240" w:lineRule="auto"/>
              <w:jc w:val="right"/>
              <w:rPr>
                <w:rFonts w:eastAsia="Times New Roman" w:cs="Calibri"/>
                <w:sz w:val="20"/>
                <w:szCs w:val="20"/>
                <w:lang w:eastAsia="en-US"/>
              </w:rPr>
            </w:pPr>
            <w:r w:rsidRPr="00BC3A4B">
              <w:rPr>
                <w:rFonts w:eastAsia="Times New Roman" w:cs="Calibri"/>
                <w:sz w:val="20"/>
                <w:szCs w:val="20"/>
                <w:lang w:eastAsia="en-US"/>
              </w:rPr>
              <w:t>134 797 899</w:t>
            </w:r>
          </w:p>
        </w:tc>
        <w:tc>
          <w:tcPr>
            <w:tcW w:w="1438" w:type="dxa"/>
            <w:shd w:val="clear" w:color="auto" w:fill="C5D9F1"/>
            <w:vAlign w:val="bottom"/>
            <w:hideMark/>
          </w:tcPr>
          <w:p w:rsidR="003A2648" w:rsidRPr="00BC3A4B" w:rsidRDefault="003A2648" w:rsidP="00D5231C">
            <w:pPr>
              <w:spacing w:after="0" w:line="240" w:lineRule="auto"/>
              <w:jc w:val="right"/>
              <w:rPr>
                <w:rFonts w:eastAsia="Times New Roman" w:cs="Calibri"/>
                <w:sz w:val="20"/>
                <w:szCs w:val="20"/>
              </w:rPr>
            </w:pPr>
            <w:r w:rsidRPr="00BC3A4B">
              <w:rPr>
                <w:rFonts w:eastAsia="Times New Roman" w:cs="Calibri"/>
                <w:sz w:val="20"/>
                <w:szCs w:val="20"/>
                <w:lang w:eastAsia="en-US"/>
              </w:rPr>
              <w:t>134 797 899</w:t>
            </w:r>
          </w:p>
        </w:tc>
      </w:tr>
      <w:tr w:rsidR="00FC04C8" w:rsidRPr="00BC3A4B" w:rsidTr="00D5231C">
        <w:trPr>
          <w:trHeight w:val="269"/>
        </w:trPr>
        <w:tc>
          <w:tcPr>
            <w:tcW w:w="6485" w:type="dxa"/>
            <w:vAlign w:val="bottom"/>
            <w:hideMark/>
          </w:tcPr>
          <w:p w:rsidR="00FC04C8" w:rsidRPr="00BC3A4B" w:rsidRDefault="00FC04C8">
            <w:pPr>
              <w:spacing w:after="0" w:line="240" w:lineRule="auto"/>
              <w:rPr>
                <w:rFonts w:eastAsia="Times New Roman" w:cs="Calibri"/>
                <w:sz w:val="20"/>
                <w:szCs w:val="20"/>
                <w:lang w:eastAsia="en-US"/>
              </w:rPr>
            </w:pPr>
            <w:r w:rsidRPr="00BC3A4B">
              <w:rPr>
                <w:rFonts w:eastAsia="Times New Roman" w:cs="Calibri"/>
                <w:sz w:val="20"/>
                <w:szCs w:val="20"/>
                <w:lang w:eastAsia="en-US"/>
              </w:rPr>
              <w:t>Средно-претеглен брой акции в обр</w:t>
            </w:r>
            <w:r>
              <w:rPr>
                <w:rFonts w:eastAsia="Times New Roman" w:cs="Calibri"/>
                <w:sz w:val="20"/>
                <w:szCs w:val="20"/>
                <w:lang w:val="en-US" w:eastAsia="en-US"/>
              </w:rPr>
              <w:t>a</w:t>
            </w:r>
            <w:r w:rsidRPr="00BC3A4B">
              <w:rPr>
                <w:rFonts w:eastAsia="Times New Roman" w:cs="Calibri"/>
                <w:sz w:val="20"/>
                <w:szCs w:val="20"/>
                <w:lang w:eastAsia="en-US"/>
              </w:rPr>
              <w:t>щение за последните четири тримесечия</w:t>
            </w:r>
          </w:p>
        </w:tc>
        <w:tc>
          <w:tcPr>
            <w:tcW w:w="1438" w:type="dxa"/>
            <w:shd w:val="clear" w:color="auto" w:fill="DCE6F1"/>
            <w:vAlign w:val="bottom"/>
            <w:hideMark/>
          </w:tcPr>
          <w:p w:rsidR="00FC04C8" w:rsidRPr="00D41A1F" w:rsidRDefault="00FC04C8" w:rsidP="00D41A1F">
            <w:pPr>
              <w:spacing w:after="0" w:line="240" w:lineRule="auto"/>
              <w:jc w:val="right"/>
              <w:rPr>
                <w:rFonts w:eastAsia="Times New Roman" w:cs="Calibri"/>
                <w:sz w:val="20"/>
                <w:szCs w:val="20"/>
                <w:highlight w:val="yellow"/>
                <w:lang w:val="en-US" w:eastAsia="en-US"/>
              </w:rPr>
            </w:pPr>
            <w:r w:rsidRPr="004C46F3">
              <w:rPr>
                <w:rFonts w:eastAsia="Times New Roman" w:cs="Calibri"/>
                <w:sz w:val="20"/>
                <w:szCs w:val="20"/>
                <w:lang w:eastAsia="en-US"/>
              </w:rPr>
              <w:t xml:space="preserve">129 </w:t>
            </w:r>
            <w:r w:rsidR="00D41A1F">
              <w:rPr>
                <w:rFonts w:eastAsia="Times New Roman" w:cs="Calibri"/>
                <w:sz w:val="20"/>
                <w:szCs w:val="20"/>
                <w:lang w:val="en-US" w:eastAsia="en-US"/>
              </w:rPr>
              <w:t>186</w:t>
            </w:r>
            <w:r w:rsidR="00D41A1F" w:rsidRPr="004C46F3">
              <w:rPr>
                <w:rFonts w:eastAsia="Times New Roman" w:cs="Calibri"/>
                <w:sz w:val="20"/>
                <w:szCs w:val="20"/>
                <w:lang w:eastAsia="en-US"/>
              </w:rPr>
              <w:t xml:space="preserve"> </w:t>
            </w:r>
            <w:r w:rsidR="00D41A1F">
              <w:rPr>
                <w:rFonts w:eastAsia="Times New Roman" w:cs="Calibri"/>
                <w:sz w:val="20"/>
                <w:szCs w:val="20"/>
                <w:lang w:val="en-US" w:eastAsia="en-US"/>
              </w:rPr>
              <w:t>283</w:t>
            </w:r>
          </w:p>
        </w:tc>
        <w:tc>
          <w:tcPr>
            <w:tcW w:w="1438" w:type="dxa"/>
            <w:shd w:val="clear" w:color="auto" w:fill="C5D9F1"/>
            <w:vAlign w:val="bottom"/>
          </w:tcPr>
          <w:p w:rsidR="00FC04C8" w:rsidRPr="00BC3A4B" w:rsidRDefault="00FC04C8" w:rsidP="00D5231C">
            <w:pPr>
              <w:spacing w:after="0" w:line="240" w:lineRule="auto"/>
              <w:jc w:val="right"/>
              <w:rPr>
                <w:rFonts w:eastAsia="Times New Roman" w:cs="Calibri"/>
                <w:sz w:val="20"/>
                <w:szCs w:val="20"/>
                <w:highlight w:val="yellow"/>
              </w:rPr>
            </w:pPr>
            <w:r>
              <w:rPr>
                <w:rFonts w:eastAsia="Times New Roman" w:cs="Calibri"/>
                <w:sz w:val="20"/>
                <w:szCs w:val="20"/>
                <w:lang w:eastAsia="en-US"/>
              </w:rPr>
              <w:t>129 5</w:t>
            </w:r>
            <w:r>
              <w:rPr>
                <w:rFonts w:eastAsia="Times New Roman" w:cs="Calibri"/>
                <w:sz w:val="20"/>
                <w:szCs w:val="20"/>
                <w:lang w:val="en-US" w:eastAsia="en-US"/>
              </w:rPr>
              <w:t>85</w:t>
            </w:r>
            <w:r>
              <w:rPr>
                <w:rFonts w:eastAsia="Times New Roman" w:cs="Calibri"/>
                <w:sz w:val="20"/>
                <w:szCs w:val="20"/>
                <w:lang w:eastAsia="en-US"/>
              </w:rPr>
              <w:t xml:space="preserve"> </w:t>
            </w:r>
            <w:r>
              <w:rPr>
                <w:rFonts w:eastAsia="Times New Roman" w:cs="Calibri"/>
                <w:sz w:val="20"/>
                <w:szCs w:val="20"/>
                <w:lang w:val="en-US" w:eastAsia="en-US"/>
              </w:rPr>
              <w:t>119</w:t>
            </w:r>
          </w:p>
        </w:tc>
      </w:tr>
      <w:tr w:rsidR="00FC04C8" w:rsidRPr="00BC3A4B" w:rsidTr="00D5231C">
        <w:trPr>
          <w:trHeight w:val="269"/>
        </w:trPr>
        <w:tc>
          <w:tcPr>
            <w:tcW w:w="6485" w:type="dxa"/>
            <w:vAlign w:val="bottom"/>
            <w:hideMark/>
          </w:tcPr>
          <w:p w:rsidR="00FC04C8" w:rsidRPr="00BC3A4B" w:rsidRDefault="00FC04C8">
            <w:pPr>
              <w:spacing w:after="0" w:line="240" w:lineRule="auto"/>
              <w:rPr>
                <w:rFonts w:eastAsia="Times New Roman" w:cs="Calibri"/>
                <w:sz w:val="20"/>
                <w:szCs w:val="20"/>
                <w:lang w:eastAsia="en-US"/>
              </w:rPr>
            </w:pPr>
            <w:r w:rsidRPr="00BC3A4B">
              <w:rPr>
                <w:rFonts w:eastAsia="Times New Roman" w:cs="Calibri"/>
                <w:sz w:val="20"/>
                <w:szCs w:val="20"/>
                <w:lang w:eastAsia="en-US"/>
              </w:rPr>
              <w:t>Брой акции в обр</w:t>
            </w:r>
            <w:r>
              <w:rPr>
                <w:rFonts w:eastAsia="Times New Roman" w:cs="Calibri"/>
                <w:sz w:val="20"/>
                <w:szCs w:val="20"/>
                <w:lang w:val="en-US" w:eastAsia="en-US"/>
              </w:rPr>
              <w:t>a</w:t>
            </w:r>
            <w:r w:rsidRPr="00BC3A4B">
              <w:rPr>
                <w:rFonts w:eastAsia="Times New Roman" w:cs="Calibri"/>
                <w:sz w:val="20"/>
                <w:szCs w:val="20"/>
                <w:lang w:eastAsia="en-US"/>
              </w:rPr>
              <w:t>щение към края на периода</w:t>
            </w:r>
          </w:p>
        </w:tc>
        <w:tc>
          <w:tcPr>
            <w:tcW w:w="1438" w:type="dxa"/>
            <w:shd w:val="clear" w:color="auto" w:fill="DCE6F1"/>
            <w:vAlign w:val="bottom"/>
            <w:hideMark/>
          </w:tcPr>
          <w:p w:rsidR="00FC04C8" w:rsidRPr="00BC3A4B" w:rsidRDefault="00D41A1F" w:rsidP="00D5231C">
            <w:pPr>
              <w:spacing w:after="0" w:line="240" w:lineRule="auto"/>
              <w:jc w:val="right"/>
              <w:rPr>
                <w:rFonts w:eastAsia="Times New Roman" w:cs="Calibri"/>
                <w:sz w:val="20"/>
                <w:szCs w:val="20"/>
                <w:lang w:eastAsia="en-US"/>
              </w:rPr>
            </w:pPr>
            <w:r w:rsidRPr="00D41A1F">
              <w:rPr>
                <w:rFonts w:eastAsia="Times New Roman" w:cs="Calibri"/>
                <w:sz w:val="20"/>
                <w:szCs w:val="20"/>
                <w:lang w:eastAsia="en-US"/>
              </w:rPr>
              <w:t>129 276 474</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129 576 603</w:t>
            </w:r>
          </w:p>
        </w:tc>
      </w:tr>
      <w:tr w:rsidR="00FC04C8" w:rsidRPr="00BC3A4B" w:rsidTr="00D5231C">
        <w:trPr>
          <w:trHeight w:val="269"/>
        </w:trPr>
        <w:tc>
          <w:tcPr>
            <w:tcW w:w="6485" w:type="dxa"/>
            <w:vAlign w:val="bottom"/>
            <w:hideMark/>
          </w:tcPr>
          <w:p w:rsidR="00FC04C8" w:rsidRPr="001B413B" w:rsidRDefault="00FC04C8">
            <w:pPr>
              <w:spacing w:after="0" w:line="240" w:lineRule="auto"/>
              <w:rPr>
                <w:rFonts w:eastAsia="Times New Roman" w:cs="Calibri"/>
                <w:sz w:val="20"/>
                <w:szCs w:val="20"/>
                <w:lang w:val="en-US" w:eastAsia="en-US"/>
              </w:rPr>
            </w:pPr>
            <w:r w:rsidRPr="00BC3A4B">
              <w:rPr>
                <w:rFonts w:eastAsia="Times New Roman" w:cs="Calibri"/>
                <w:sz w:val="20"/>
                <w:szCs w:val="20"/>
                <w:lang w:eastAsia="en-US"/>
              </w:rPr>
              <w:t>Нетна печалба на една акция в лева</w:t>
            </w:r>
            <w:r w:rsidRPr="00BC3A4B">
              <w:rPr>
                <w:rFonts w:eastAsia="Times New Roman" w:cs="Calibri"/>
                <w:sz w:val="20"/>
                <w:szCs w:val="20"/>
                <w:vertAlign w:val="superscript"/>
              </w:rPr>
              <w:t>1</w:t>
            </w:r>
            <w:r>
              <w:rPr>
                <w:rFonts w:eastAsia="Times New Roman" w:cs="Calibri"/>
                <w:sz w:val="20"/>
                <w:szCs w:val="20"/>
                <w:vertAlign w:val="superscript"/>
              </w:rPr>
              <w:t xml:space="preserve"> </w:t>
            </w:r>
          </w:p>
        </w:tc>
        <w:tc>
          <w:tcPr>
            <w:tcW w:w="1438" w:type="dxa"/>
            <w:shd w:val="clear" w:color="auto" w:fill="DCE6F1"/>
            <w:vAlign w:val="bottom"/>
            <w:hideMark/>
          </w:tcPr>
          <w:p w:rsidR="00FC04C8" w:rsidRPr="00D41A1F" w:rsidRDefault="00FC04C8" w:rsidP="00D41A1F">
            <w:pPr>
              <w:spacing w:after="0" w:line="240" w:lineRule="auto"/>
              <w:jc w:val="right"/>
              <w:rPr>
                <w:rFonts w:eastAsia="Times New Roman" w:cs="Calibri"/>
                <w:sz w:val="20"/>
                <w:szCs w:val="20"/>
                <w:lang w:val="en-US" w:eastAsia="en-US"/>
              </w:rPr>
            </w:pPr>
            <w:r w:rsidRPr="00BC3A4B">
              <w:rPr>
                <w:rFonts w:eastAsia="Times New Roman" w:cs="Calibri"/>
                <w:sz w:val="20"/>
                <w:szCs w:val="20"/>
                <w:lang w:eastAsia="en-US"/>
              </w:rPr>
              <w:t>0,2</w:t>
            </w:r>
            <w:r w:rsidR="00D41A1F">
              <w:rPr>
                <w:rFonts w:eastAsia="Times New Roman" w:cs="Calibri"/>
                <w:sz w:val="20"/>
                <w:szCs w:val="20"/>
                <w:lang w:val="en-US" w:eastAsia="en-US"/>
              </w:rPr>
              <w:t>76</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0,2</w:t>
            </w:r>
            <w:r>
              <w:rPr>
                <w:rFonts w:eastAsia="Times New Roman" w:cs="Calibri"/>
                <w:sz w:val="20"/>
                <w:szCs w:val="20"/>
                <w:lang w:val="en-US" w:eastAsia="en-US"/>
              </w:rPr>
              <w:t>56</w:t>
            </w:r>
          </w:p>
        </w:tc>
      </w:tr>
      <w:tr w:rsidR="00FC04C8" w:rsidRPr="00BC3A4B" w:rsidTr="00D5231C">
        <w:trPr>
          <w:trHeight w:val="30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Цена на една акция към края на периода в лева</w:t>
            </w:r>
          </w:p>
        </w:tc>
        <w:tc>
          <w:tcPr>
            <w:tcW w:w="1438" w:type="dxa"/>
            <w:shd w:val="clear" w:color="auto" w:fill="DCE6F1"/>
            <w:vAlign w:val="bottom"/>
            <w:hideMark/>
          </w:tcPr>
          <w:p w:rsidR="00FC04C8" w:rsidRPr="00BC3A4B" w:rsidRDefault="00D41A1F" w:rsidP="00D41A1F">
            <w:pPr>
              <w:spacing w:after="0" w:line="240" w:lineRule="auto"/>
              <w:jc w:val="right"/>
              <w:rPr>
                <w:rFonts w:eastAsia="Times New Roman" w:cs="Calibri"/>
                <w:sz w:val="20"/>
                <w:szCs w:val="20"/>
                <w:lang w:val="en-US" w:eastAsia="en-US"/>
              </w:rPr>
            </w:pPr>
            <w:r>
              <w:rPr>
                <w:rFonts w:eastAsia="Times New Roman" w:cs="Calibri"/>
                <w:sz w:val="20"/>
                <w:szCs w:val="20"/>
                <w:lang w:val="en-US" w:eastAsia="en-US"/>
              </w:rPr>
              <w:t>4</w:t>
            </w:r>
            <w:r w:rsidR="00FC04C8" w:rsidRPr="00BC3A4B">
              <w:rPr>
                <w:rFonts w:eastAsia="Times New Roman" w:cs="Calibri"/>
                <w:sz w:val="20"/>
                <w:szCs w:val="20"/>
                <w:lang w:eastAsia="en-US"/>
              </w:rPr>
              <w:t>,</w:t>
            </w:r>
            <w:r>
              <w:rPr>
                <w:rFonts w:eastAsia="Times New Roman" w:cs="Calibri"/>
                <w:sz w:val="20"/>
                <w:szCs w:val="20"/>
                <w:lang w:val="en-US" w:eastAsia="en-US"/>
              </w:rPr>
              <w:t>5</w:t>
            </w:r>
            <w:r w:rsidR="00FC04C8">
              <w:rPr>
                <w:rFonts w:eastAsia="Times New Roman" w:cs="Calibri"/>
                <w:sz w:val="20"/>
                <w:szCs w:val="20"/>
                <w:lang w:val="en-US" w:eastAsia="en-US"/>
              </w:rPr>
              <w:t>0</w:t>
            </w:r>
            <w:r>
              <w:rPr>
                <w:rFonts w:eastAsia="Times New Roman" w:cs="Calibri"/>
                <w:sz w:val="20"/>
                <w:szCs w:val="20"/>
                <w:lang w:val="en-US" w:eastAsia="en-US"/>
              </w:rPr>
              <w:t>1</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2,588</w:t>
            </w:r>
          </w:p>
        </w:tc>
      </w:tr>
      <w:tr w:rsidR="00FC04C8" w:rsidRPr="00BC3A4B" w:rsidTr="00D5231C">
        <w:trPr>
          <w:trHeight w:val="32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Цена на една  акция/Нетна печалба на една акция  (P/Е)</w:t>
            </w:r>
          </w:p>
        </w:tc>
        <w:tc>
          <w:tcPr>
            <w:tcW w:w="1438" w:type="dxa"/>
            <w:shd w:val="clear" w:color="auto" w:fill="DCE6F1"/>
            <w:vAlign w:val="bottom"/>
            <w:hideMark/>
          </w:tcPr>
          <w:p w:rsidR="00FC04C8" w:rsidRPr="00BC3A4B" w:rsidRDefault="00FC04C8" w:rsidP="00D41A1F">
            <w:pPr>
              <w:spacing w:after="0" w:line="240" w:lineRule="auto"/>
              <w:jc w:val="right"/>
              <w:rPr>
                <w:rFonts w:eastAsia="Times New Roman" w:cs="Calibri"/>
                <w:sz w:val="20"/>
                <w:szCs w:val="20"/>
                <w:lang w:val="en-US" w:eastAsia="en-US"/>
              </w:rPr>
            </w:pPr>
            <w:r w:rsidRPr="00BC3A4B">
              <w:rPr>
                <w:rFonts w:eastAsia="Times New Roman" w:cs="Calibri"/>
                <w:sz w:val="20"/>
                <w:szCs w:val="20"/>
                <w:lang w:eastAsia="en-US"/>
              </w:rPr>
              <w:t>1</w:t>
            </w:r>
            <w:r w:rsidR="00D41A1F">
              <w:rPr>
                <w:rFonts w:eastAsia="Times New Roman" w:cs="Calibri"/>
                <w:sz w:val="20"/>
                <w:szCs w:val="20"/>
                <w:lang w:val="en-US" w:eastAsia="en-US"/>
              </w:rPr>
              <w:t>6</w:t>
            </w:r>
            <w:r w:rsidRPr="00BC3A4B">
              <w:rPr>
                <w:rFonts w:eastAsia="Times New Roman" w:cs="Calibri"/>
                <w:sz w:val="20"/>
                <w:szCs w:val="20"/>
                <w:lang w:eastAsia="en-US"/>
              </w:rPr>
              <w:t>,</w:t>
            </w:r>
            <w:r w:rsidR="00D41A1F">
              <w:rPr>
                <w:rFonts w:eastAsia="Times New Roman" w:cs="Calibri"/>
                <w:sz w:val="20"/>
                <w:szCs w:val="20"/>
                <w:lang w:val="en-US" w:eastAsia="en-US"/>
              </w:rPr>
              <w:t>31</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10,11</w:t>
            </w:r>
          </w:p>
        </w:tc>
      </w:tr>
      <w:tr w:rsidR="00FC04C8" w:rsidRPr="00BC3A4B" w:rsidTr="00D5231C">
        <w:trPr>
          <w:trHeight w:val="32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Счетоводна стойност на една акция в лева</w:t>
            </w:r>
            <w:r w:rsidRPr="00BC3A4B">
              <w:rPr>
                <w:rFonts w:eastAsia="Times New Roman" w:cs="Calibri"/>
                <w:sz w:val="20"/>
                <w:szCs w:val="20"/>
                <w:vertAlign w:val="superscript"/>
              </w:rPr>
              <w:t>2</w:t>
            </w:r>
          </w:p>
        </w:tc>
        <w:tc>
          <w:tcPr>
            <w:tcW w:w="1438" w:type="dxa"/>
            <w:shd w:val="clear" w:color="auto" w:fill="DCE6F1"/>
            <w:vAlign w:val="bottom"/>
            <w:hideMark/>
          </w:tcPr>
          <w:p w:rsidR="00FC04C8" w:rsidRPr="001C4A7D" w:rsidRDefault="00FC04C8" w:rsidP="00D41A1F">
            <w:pPr>
              <w:spacing w:after="0" w:line="240" w:lineRule="auto"/>
              <w:jc w:val="right"/>
              <w:rPr>
                <w:rFonts w:eastAsia="Times New Roman" w:cs="Calibri"/>
                <w:color w:val="FF0000"/>
                <w:sz w:val="20"/>
                <w:szCs w:val="20"/>
                <w:lang w:val="en-US" w:eastAsia="en-US"/>
              </w:rPr>
            </w:pPr>
            <w:r w:rsidRPr="00BC3A4B">
              <w:rPr>
                <w:rFonts w:eastAsia="Times New Roman" w:cs="Calibri"/>
                <w:sz w:val="20"/>
                <w:szCs w:val="20"/>
                <w:lang w:eastAsia="en-US"/>
              </w:rPr>
              <w:t>3,</w:t>
            </w:r>
            <w:r w:rsidR="00D41A1F">
              <w:rPr>
                <w:rFonts w:eastAsia="Times New Roman" w:cs="Calibri"/>
                <w:sz w:val="20"/>
                <w:szCs w:val="20"/>
                <w:lang w:val="en-US" w:eastAsia="en-US"/>
              </w:rPr>
              <w:t>73</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color w:val="FF0000"/>
                <w:sz w:val="20"/>
                <w:szCs w:val="20"/>
              </w:rPr>
            </w:pPr>
            <w:r>
              <w:rPr>
                <w:rFonts w:eastAsia="Times New Roman" w:cs="Calibri"/>
                <w:sz w:val="20"/>
                <w:szCs w:val="20"/>
                <w:lang w:eastAsia="en-US"/>
              </w:rPr>
              <w:t>3,522</w:t>
            </w:r>
          </w:p>
        </w:tc>
      </w:tr>
      <w:tr w:rsidR="00FC04C8" w:rsidRPr="00BC3A4B" w:rsidTr="00D5231C">
        <w:trPr>
          <w:trHeight w:val="32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Цена на една акция/</w:t>
            </w:r>
            <w:r w:rsidRPr="00BC3A4B">
              <w:rPr>
                <w:rFonts w:eastAsia="Calibri"/>
                <w:sz w:val="20"/>
                <w:szCs w:val="20"/>
                <w:lang w:eastAsia="en-US"/>
              </w:rPr>
              <w:t>С</w:t>
            </w:r>
            <w:r w:rsidRPr="00BC3A4B">
              <w:rPr>
                <w:rFonts w:eastAsia="Times New Roman" w:cs="Calibri"/>
                <w:sz w:val="20"/>
                <w:szCs w:val="20"/>
                <w:lang w:eastAsia="en-US"/>
              </w:rPr>
              <w:t>четоводна стойност на една акция (P/B)</w:t>
            </w:r>
          </w:p>
        </w:tc>
        <w:tc>
          <w:tcPr>
            <w:tcW w:w="1438" w:type="dxa"/>
            <w:shd w:val="clear" w:color="auto" w:fill="DCE6F1"/>
            <w:vAlign w:val="bottom"/>
            <w:hideMark/>
          </w:tcPr>
          <w:p w:rsidR="00FC04C8" w:rsidRPr="00D51436" w:rsidRDefault="00FC04C8" w:rsidP="00D41A1F">
            <w:pPr>
              <w:spacing w:after="0" w:line="240" w:lineRule="auto"/>
              <w:jc w:val="right"/>
              <w:rPr>
                <w:rFonts w:eastAsia="Times New Roman" w:cs="Calibri"/>
                <w:color w:val="FF0000"/>
                <w:sz w:val="20"/>
                <w:szCs w:val="20"/>
                <w:lang w:val="en-US" w:eastAsia="en-US"/>
              </w:rPr>
            </w:pPr>
            <w:r>
              <w:rPr>
                <w:rFonts w:eastAsia="Times New Roman" w:cs="Calibri"/>
                <w:sz w:val="20"/>
                <w:szCs w:val="20"/>
                <w:lang w:val="en-US" w:eastAsia="en-US"/>
              </w:rPr>
              <w:t>1</w:t>
            </w:r>
            <w:r w:rsidRPr="00BC3A4B">
              <w:rPr>
                <w:rFonts w:eastAsia="Times New Roman" w:cs="Calibri"/>
                <w:sz w:val="20"/>
                <w:szCs w:val="20"/>
                <w:lang w:eastAsia="en-US"/>
              </w:rPr>
              <w:t>,</w:t>
            </w:r>
            <w:r w:rsidR="00D41A1F">
              <w:rPr>
                <w:rFonts w:eastAsia="Times New Roman" w:cs="Calibri"/>
                <w:sz w:val="20"/>
                <w:szCs w:val="20"/>
                <w:lang w:val="en-US" w:eastAsia="en-US"/>
              </w:rPr>
              <w:t>21</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color w:val="FF0000"/>
                <w:sz w:val="20"/>
                <w:szCs w:val="20"/>
              </w:rPr>
            </w:pPr>
            <w:r>
              <w:rPr>
                <w:rFonts w:eastAsia="Times New Roman" w:cs="Calibri"/>
                <w:sz w:val="20"/>
                <w:szCs w:val="20"/>
                <w:lang w:eastAsia="en-US"/>
              </w:rPr>
              <w:t>0,73</w:t>
            </w:r>
          </w:p>
        </w:tc>
      </w:tr>
      <w:tr w:rsidR="00FC04C8" w:rsidRPr="00BC3A4B" w:rsidTr="00D5231C">
        <w:trPr>
          <w:trHeight w:val="32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Приходи от продажби на една акция в лева</w:t>
            </w:r>
            <w:r w:rsidRPr="00BC3A4B">
              <w:rPr>
                <w:rFonts w:eastAsia="Times New Roman" w:cs="Calibri"/>
                <w:sz w:val="20"/>
                <w:szCs w:val="20"/>
                <w:vertAlign w:val="superscript"/>
              </w:rPr>
              <w:t>3</w:t>
            </w:r>
          </w:p>
        </w:tc>
        <w:tc>
          <w:tcPr>
            <w:tcW w:w="1438" w:type="dxa"/>
            <w:shd w:val="clear" w:color="auto" w:fill="DCE6F1"/>
            <w:vAlign w:val="bottom"/>
            <w:hideMark/>
          </w:tcPr>
          <w:p w:rsidR="00FC04C8" w:rsidRPr="00BC3A4B" w:rsidRDefault="00FC04C8" w:rsidP="00D41A1F">
            <w:pPr>
              <w:spacing w:after="0" w:line="240" w:lineRule="auto"/>
              <w:jc w:val="right"/>
              <w:rPr>
                <w:rFonts w:eastAsia="Times New Roman" w:cs="Calibri"/>
                <w:sz w:val="20"/>
                <w:szCs w:val="20"/>
                <w:lang w:val="en-US" w:eastAsia="en-US"/>
              </w:rPr>
            </w:pPr>
            <w:r w:rsidRPr="00BC3A4B">
              <w:rPr>
                <w:rFonts w:eastAsia="Times New Roman" w:cs="Calibri"/>
                <w:sz w:val="20"/>
                <w:szCs w:val="20"/>
                <w:lang w:eastAsia="en-US"/>
              </w:rPr>
              <w:t>1,</w:t>
            </w:r>
            <w:r>
              <w:rPr>
                <w:rFonts w:eastAsia="Times New Roman" w:cs="Calibri"/>
                <w:sz w:val="20"/>
                <w:szCs w:val="20"/>
                <w:lang w:val="en-US" w:eastAsia="en-US"/>
              </w:rPr>
              <w:t>3</w:t>
            </w:r>
            <w:r w:rsidR="00D41A1F">
              <w:rPr>
                <w:rFonts w:eastAsia="Times New Roman" w:cs="Calibri"/>
                <w:sz w:val="20"/>
                <w:szCs w:val="20"/>
                <w:lang w:val="en-US" w:eastAsia="en-US"/>
              </w:rPr>
              <w:t>7</w:t>
            </w:r>
            <w:r>
              <w:rPr>
                <w:rFonts w:eastAsia="Times New Roman" w:cs="Calibri"/>
                <w:sz w:val="20"/>
                <w:szCs w:val="20"/>
                <w:lang w:val="en-US" w:eastAsia="en-US"/>
              </w:rPr>
              <w:t>8</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1,271</w:t>
            </w:r>
          </w:p>
        </w:tc>
      </w:tr>
      <w:tr w:rsidR="00FC04C8" w:rsidRPr="00BC3A4B" w:rsidTr="00D5231C">
        <w:trPr>
          <w:trHeight w:val="320"/>
        </w:trPr>
        <w:tc>
          <w:tcPr>
            <w:tcW w:w="6485" w:type="dxa"/>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Цена на една акция/Приходи от продажби на една акция (P/S)</w:t>
            </w:r>
          </w:p>
        </w:tc>
        <w:tc>
          <w:tcPr>
            <w:tcW w:w="1438" w:type="dxa"/>
            <w:shd w:val="clear" w:color="auto" w:fill="DCE6F1"/>
            <w:vAlign w:val="bottom"/>
            <w:hideMark/>
          </w:tcPr>
          <w:p w:rsidR="00FC04C8" w:rsidRPr="00BC3A4B" w:rsidRDefault="00D41A1F" w:rsidP="00D41A1F">
            <w:pPr>
              <w:spacing w:after="0" w:line="240" w:lineRule="auto"/>
              <w:jc w:val="right"/>
              <w:rPr>
                <w:rFonts w:eastAsia="Times New Roman" w:cs="Calibri"/>
                <w:sz w:val="20"/>
                <w:szCs w:val="20"/>
                <w:lang w:val="en-US" w:eastAsia="en-US"/>
              </w:rPr>
            </w:pPr>
            <w:r>
              <w:rPr>
                <w:rFonts w:eastAsia="Times New Roman" w:cs="Calibri"/>
                <w:sz w:val="20"/>
                <w:szCs w:val="20"/>
                <w:lang w:val="en-US" w:eastAsia="en-US"/>
              </w:rPr>
              <w:t>3</w:t>
            </w:r>
            <w:r w:rsidR="00FC04C8" w:rsidRPr="00BC3A4B">
              <w:rPr>
                <w:rFonts w:eastAsia="Times New Roman" w:cs="Calibri"/>
                <w:sz w:val="20"/>
                <w:szCs w:val="20"/>
                <w:lang w:eastAsia="en-US"/>
              </w:rPr>
              <w:t>,</w:t>
            </w:r>
            <w:r>
              <w:rPr>
                <w:rFonts w:eastAsia="Times New Roman" w:cs="Calibri"/>
                <w:sz w:val="20"/>
                <w:szCs w:val="20"/>
                <w:lang w:val="en-US" w:eastAsia="en-US"/>
              </w:rPr>
              <w:t>27</w:t>
            </w:r>
          </w:p>
        </w:tc>
        <w:tc>
          <w:tcPr>
            <w:tcW w:w="1438" w:type="dxa"/>
            <w:shd w:val="clear" w:color="auto" w:fill="C5D9F1"/>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2,04</w:t>
            </w:r>
          </w:p>
        </w:tc>
      </w:tr>
      <w:tr w:rsidR="00FC04C8" w:rsidRPr="00BC3A4B" w:rsidTr="00D5231C">
        <w:trPr>
          <w:trHeight w:val="289"/>
        </w:trPr>
        <w:tc>
          <w:tcPr>
            <w:tcW w:w="6485" w:type="dxa"/>
            <w:tcBorders>
              <w:top w:val="nil"/>
              <w:left w:val="nil"/>
              <w:bottom w:val="double" w:sz="6" w:space="0" w:color="auto"/>
              <w:right w:val="nil"/>
            </w:tcBorders>
            <w:vAlign w:val="bottom"/>
            <w:hideMark/>
          </w:tcPr>
          <w:p w:rsidR="00FC04C8" w:rsidRPr="00BC3A4B" w:rsidRDefault="00FC04C8" w:rsidP="00D5231C">
            <w:pPr>
              <w:spacing w:after="0" w:line="240" w:lineRule="auto"/>
              <w:rPr>
                <w:rFonts w:eastAsia="Times New Roman" w:cs="Calibri"/>
                <w:sz w:val="20"/>
                <w:szCs w:val="20"/>
                <w:lang w:eastAsia="en-US"/>
              </w:rPr>
            </w:pPr>
            <w:r w:rsidRPr="00BC3A4B">
              <w:rPr>
                <w:rFonts w:eastAsia="Times New Roman" w:cs="Calibri"/>
                <w:sz w:val="20"/>
                <w:szCs w:val="20"/>
                <w:lang w:eastAsia="en-US"/>
              </w:rPr>
              <w:t>Пазарна капитализация към края на периода в лева</w:t>
            </w:r>
          </w:p>
        </w:tc>
        <w:tc>
          <w:tcPr>
            <w:tcW w:w="1438" w:type="dxa"/>
            <w:tcBorders>
              <w:top w:val="nil"/>
              <w:left w:val="nil"/>
              <w:bottom w:val="double" w:sz="6" w:space="0" w:color="auto"/>
              <w:right w:val="nil"/>
            </w:tcBorders>
            <w:shd w:val="clear" w:color="auto" w:fill="DCE6F1"/>
            <w:noWrap/>
            <w:vAlign w:val="bottom"/>
            <w:hideMark/>
          </w:tcPr>
          <w:p w:rsidR="00FC04C8" w:rsidRPr="00D51436" w:rsidRDefault="006549E0" w:rsidP="00D5231C">
            <w:pPr>
              <w:spacing w:after="0" w:line="240" w:lineRule="auto"/>
              <w:jc w:val="right"/>
              <w:rPr>
                <w:rFonts w:eastAsia="Times New Roman" w:cs="Calibri"/>
                <w:sz w:val="20"/>
                <w:szCs w:val="20"/>
                <w:lang w:val="en-US" w:eastAsia="en-US"/>
              </w:rPr>
            </w:pPr>
            <w:r>
              <w:rPr>
                <w:rFonts w:eastAsia="Times New Roman" w:cs="Calibri"/>
                <w:sz w:val="20"/>
                <w:szCs w:val="20"/>
                <w:lang w:val="en-US" w:eastAsia="en-US"/>
              </w:rPr>
              <w:t>606 725 343</w:t>
            </w:r>
          </w:p>
        </w:tc>
        <w:tc>
          <w:tcPr>
            <w:tcW w:w="1438" w:type="dxa"/>
            <w:tcBorders>
              <w:top w:val="nil"/>
              <w:left w:val="nil"/>
              <w:bottom w:val="double" w:sz="6" w:space="0" w:color="auto"/>
              <w:right w:val="nil"/>
            </w:tcBorders>
            <w:shd w:val="clear" w:color="auto" w:fill="C5D9F1"/>
            <w:noWrap/>
            <w:vAlign w:val="bottom"/>
            <w:hideMark/>
          </w:tcPr>
          <w:p w:rsidR="00FC04C8" w:rsidRPr="00BC3A4B" w:rsidRDefault="00FC04C8" w:rsidP="00D5231C">
            <w:pPr>
              <w:spacing w:after="0" w:line="240" w:lineRule="auto"/>
              <w:jc w:val="right"/>
              <w:rPr>
                <w:rFonts w:eastAsia="Times New Roman" w:cs="Calibri"/>
                <w:sz w:val="20"/>
                <w:szCs w:val="20"/>
              </w:rPr>
            </w:pPr>
            <w:r>
              <w:rPr>
                <w:rFonts w:eastAsia="Times New Roman" w:cs="Calibri"/>
                <w:sz w:val="20"/>
                <w:szCs w:val="20"/>
                <w:lang w:eastAsia="en-US"/>
              </w:rPr>
              <w:t xml:space="preserve">348 856 963 </w:t>
            </w:r>
          </w:p>
        </w:tc>
      </w:tr>
    </w:tbl>
    <w:p w:rsidR="003A2648" w:rsidRPr="00BC3A4B" w:rsidRDefault="00650004" w:rsidP="003A2648">
      <w:pPr>
        <w:suppressAutoHyphens/>
        <w:autoSpaceDN w:val="0"/>
        <w:spacing w:before="40" w:after="40" w:line="240" w:lineRule="auto"/>
        <w:jc w:val="both"/>
        <w:textAlignment w:val="baseline"/>
        <w:rPr>
          <w:rFonts w:eastAsia="Calibri"/>
          <w:lang w:eastAsia="en-US"/>
        </w:rPr>
      </w:pPr>
      <w:r w:rsidRPr="00BC3A4B">
        <w:rPr>
          <w:rFonts w:eastAsia="Calibri" w:cs="Calibri"/>
          <w:b/>
          <w:i/>
          <w:color w:val="1F497D"/>
          <w:sz w:val="32"/>
          <w:szCs w:val="32"/>
          <w:lang w:eastAsia="en-US"/>
        </w:rPr>
        <w:fldChar w:fldCharType="end"/>
      </w:r>
      <w:r w:rsidR="003A2648" w:rsidRPr="00BC3A4B">
        <w:rPr>
          <w:rFonts w:eastAsia="Calibri"/>
          <w:vertAlign w:val="superscript"/>
          <w:lang w:eastAsia="en-US"/>
        </w:rPr>
        <w:t>1</w:t>
      </w:r>
      <w:r w:rsidR="003A2648" w:rsidRPr="00BC3A4B">
        <w:rPr>
          <w:rFonts w:eastAsia="Calibri"/>
          <w:lang w:eastAsia="en-US"/>
        </w:rPr>
        <w:t xml:space="preserve"> Н</w:t>
      </w:r>
      <w:r w:rsidR="003A2648" w:rsidRPr="00BC3A4B">
        <w:rPr>
          <w:rFonts w:eastAsia="Calibri"/>
          <w:sz w:val="20"/>
          <w:szCs w:val="20"/>
          <w:lang w:eastAsia="en-US"/>
        </w:rPr>
        <w:t>етна печалба за последните четири тримесечия/средно-претеглен брой акции в обр</w:t>
      </w:r>
      <w:r w:rsidR="004B621C">
        <w:rPr>
          <w:rFonts w:eastAsia="Calibri"/>
          <w:sz w:val="20"/>
          <w:szCs w:val="20"/>
          <w:lang w:val="en-US" w:eastAsia="en-US"/>
        </w:rPr>
        <w:t>a</w:t>
      </w:r>
      <w:r w:rsidR="003A2648" w:rsidRPr="00BC3A4B">
        <w:rPr>
          <w:rFonts w:eastAsia="Calibri"/>
          <w:sz w:val="20"/>
          <w:szCs w:val="20"/>
          <w:lang w:eastAsia="en-US"/>
        </w:rPr>
        <w:t>щение за същия период</w:t>
      </w:r>
    </w:p>
    <w:p w:rsidR="003A2648" w:rsidRPr="00BC3A4B" w:rsidRDefault="003A2648" w:rsidP="003A2648">
      <w:pPr>
        <w:spacing w:after="0" w:line="240" w:lineRule="auto"/>
        <w:rPr>
          <w:rFonts w:eastAsia="Calibri"/>
          <w:sz w:val="20"/>
          <w:szCs w:val="20"/>
          <w:lang w:eastAsia="en-US"/>
        </w:rPr>
      </w:pPr>
      <w:r w:rsidRPr="00BC3A4B">
        <w:rPr>
          <w:rFonts w:eastAsia="Calibri"/>
          <w:sz w:val="20"/>
          <w:szCs w:val="20"/>
          <w:vertAlign w:val="superscript"/>
          <w:lang w:eastAsia="en-US"/>
        </w:rPr>
        <w:t>2</w:t>
      </w:r>
      <w:r w:rsidRPr="00BC3A4B">
        <w:rPr>
          <w:rFonts w:eastAsia="Calibri"/>
          <w:sz w:val="20"/>
          <w:szCs w:val="20"/>
          <w:lang w:eastAsia="en-US"/>
        </w:rPr>
        <w:t xml:space="preserve"> Собствен капитал/брой акции в обр</w:t>
      </w:r>
      <w:r w:rsidR="004B621C">
        <w:rPr>
          <w:rFonts w:eastAsia="Calibri"/>
          <w:sz w:val="20"/>
          <w:szCs w:val="20"/>
          <w:lang w:val="en-US" w:eastAsia="en-US"/>
        </w:rPr>
        <w:t>a</w:t>
      </w:r>
      <w:r w:rsidRPr="00BC3A4B">
        <w:rPr>
          <w:rFonts w:eastAsia="Calibri"/>
          <w:sz w:val="20"/>
          <w:szCs w:val="20"/>
          <w:lang w:eastAsia="en-US"/>
        </w:rPr>
        <w:t>щение към края на периода</w:t>
      </w:r>
    </w:p>
    <w:p w:rsidR="003A2648" w:rsidRPr="00BC3A4B" w:rsidRDefault="003A2648" w:rsidP="003A2648">
      <w:pPr>
        <w:spacing w:after="0" w:line="240" w:lineRule="auto"/>
        <w:rPr>
          <w:rFonts w:eastAsia="Calibri" w:cs="Calibri"/>
          <w:color w:val="1F497D"/>
          <w:sz w:val="24"/>
          <w:szCs w:val="24"/>
          <w:lang w:eastAsia="en-US"/>
        </w:rPr>
      </w:pPr>
      <w:r w:rsidRPr="00BC3A4B">
        <w:rPr>
          <w:rFonts w:eastAsia="Calibri"/>
          <w:sz w:val="20"/>
          <w:szCs w:val="20"/>
          <w:vertAlign w:val="superscript"/>
          <w:lang w:eastAsia="en-US"/>
        </w:rPr>
        <w:t>3</w:t>
      </w:r>
      <w:r w:rsidRPr="00BC3A4B">
        <w:rPr>
          <w:rFonts w:eastAsia="Calibri"/>
          <w:sz w:val="20"/>
          <w:szCs w:val="20"/>
          <w:lang w:eastAsia="en-US"/>
        </w:rPr>
        <w:t xml:space="preserve"> Приходи от продажби за последните четири тримесечия/брой акции в обр</w:t>
      </w:r>
      <w:r w:rsidR="004B621C">
        <w:rPr>
          <w:rFonts w:eastAsia="Calibri"/>
          <w:sz w:val="20"/>
          <w:szCs w:val="20"/>
          <w:lang w:val="en-US" w:eastAsia="en-US"/>
        </w:rPr>
        <w:t>a</w:t>
      </w:r>
      <w:r w:rsidRPr="00BC3A4B">
        <w:rPr>
          <w:rFonts w:eastAsia="Calibri"/>
          <w:sz w:val="20"/>
          <w:szCs w:val="20"/>
          <w:lang w:eastAsia="en-US"/>
        </w:rPr>
        <w:t>щение към края на периода</w:t>
      </w:r>
    </w:p>
    <w:p w:rsidR="003A2648" w:rsidRPr="00822048" w:rsidRDefault="003A2648" w:rsidP="003A2648">
      <w:pPr>
        <w:suppressAutoHyphens/>
        <w:autoSpaceDN w:val="0"/>
        <w:spacing w:before="40" w:after="40" w:line="240" w:lineRule="auto"/>
        <w:jc w:val="both"/>
        <w:textAlignment w:val="baseline"/>
        <w:rPr>
          <w:rFonts w:eastAsia="Calibri"/>
          <w:vertAlign w:val="superscript"/>
          <w:lang w:val="ru-RU" w:eastAsia="en-US"/>
        </w:rPr>
      </w:pPr>
    </w:p>
    <w:p w:rsidR="008B1BC1" w:rsidRDefault="008B1BC1" w:rsidP="009C2E37">
      <w:pPr>
        <w:suppressAutoHyphens/>
        <w:autoSpaceDN w:val="0"/>
        <w:spacing w:before="40" w:after="40" w:line="240" w:lineRule="auto"/>
        <w:jc w:val="both"/>
        <w:textAlignment w:val="baseline"/>
        <w:rPr>
          <w:rFonts w:eastAsia="Calibri" w:cs="Calibri"/>
          <w:i/>
          <w:color w:val="1F497D"/>
          <w:sz w:val="24"/>
          <w:szCs w:val="24"/>
        </w:rPr>
      </w:pPr>
    </w:p>
    <w:p w:rsidR="008B1BC1" w:rsidRDefault="008B1BC1" w:rsidP="009C2E37">
      <w:pPr>
        <w:suppressAutoHyphens/>
        <w:autoSpaceDN w:val="0"/>
        <w:spacing w:before="40" w:after="40" w:line="240" w:lineRule="auto"/>
        <w:jc w:val="both"/>
        <w:textAlignment w:val="baseline"/>
        <w:rPr>
          <w:rFonts w:eastAsia="Calibri" w:cs="Calibri"/>
          <w:i/>
          <w:color w:val="1F497D"/>
          <w:sz w:val="24"/>
          <w:szCs w:val="24"/>
        </w:rPr>
      </w:pPr>
    </w:p>
    <w:p w:rsidR="008B1BC1" w:rsidRDefault="008B1BC1" w:rsidP="009C2E37">
      <w:pPr>
        <w:suppressAutoHyphens/>
        <w:autoSpaceDN w:val="0"/>
        <w:spacing w:before="40" w:after="40" w:line="240" w:lineRule="auto"/>
        <w:jc w:val="both"/>
        <w:textAlignment w:val="baseline"/>
        <w:rPr>
          <w:rFonts w:eastAsia="Calibri" w:cs="Calibri"/>
          <w:i/>
          <w:color w:val="1F497D"/>
          <w:sz w:val="24"/>
          <w:szCs w:val="24"/>
        </w:rPr>
      </w:pPr>
    </w:p>
    <w:p w:rsidR="00575FC7" w:rsidRPr="00614BE3" w:rsidRDefault="003A2648" w:rsidP="009C2E37">
      <w:pPr>
        <w:suppressAutoHyphens/>
        <w:autoSpaceDN w:val="0"/>
        <w:spacing w:before="40" w:after="40" w:line="240" w:lineRule="auto"/>
        <w:jc w:val="both"/>
        <w:textAlignment w:val="baseline"/>
        <w:rPr>
          <w:rFonts w:asciiTheme="minorHAnsi" w:hAnsiTheme="minorHAnsi"/>
          <w:bCs/>
          <w:i/>
          <w:sz w:val="24"/>
          <w:szCs w:val="24"/>
        </w:rPr>
      </w:pPr>
      <w:r w:rsidRPr="00614BE3">
        <w:rPr>
          <w:rFonts w:eastAsia="Calibri" w:cs="Calibri"/>
          <w:i/>
          <w:color w:val="1F497D"/>
          <w:sz w:val="24"/>
          <w:szCs w:val="24"/>
        </w:rPr>
        <w:t>Търговия с акции на Софарма АД на БФБ – София АД за периода 01.01.201</w:t>
      </w:r>
      <w:r w:rsidR="009C2E37" w:rsidRPr="00614BE3">
        <w:rPr>
          <w:rFonts w:eastAsia="Calibri" w:cs="Calibri"/>
          <w:i/>
          <w:color w:val="1F497D"/>
          <w:sz w:val="24"/>
          <w:szCs w:val="24"/>
        </w:rPr>
        <w:t>7</w:t>
      </w:r>
      <w:r w:rsidRPr="00614BE3">
        <w:rPr>
          <w:rFonts w:eastAsia="Calibri" w:cs="Calibri"/>
          <w:i/>
          <w:color w:val="1F497D"/>
          <w:sz w:val="24"/>
          <w:szCs w:val="24"/>
        </w:rPr>
        <w:t xml:space="preserve"> г. - 3</w:t>
      </w:r>
      <w:r w:rsidR="00FC04C8">
        <w:rPr>
          <w:rFonts w:eastAsia="Calibri" w:cs="Calibri"/>
          <w:i/>
          <w:color w:val="1F497D"/>
          <w:sz w:val="24"/>
          <w:szCs w:val="24"/>
          <w:lang w:val="en-US"/>
        </w:rPr>
        <w:t>0</w:t>
      </w:r>
      <w:r w:rsidRPr="00614BE3">
        <w:rPr>
          <w:rFonts w:eastAsia="Calibri" w:cs="Calibri"/>
          <w:i/>
          <w:color w:val="1F497D"/>
          <w:sz w:val="24"/>
          <w:szCs w:val="24"/>
        </w:rPr>
        <w:t>.</w:t>
      </w:r>
      <w:r w:rsidR="009C2E37" w:rsidRPr="00614BE3">
        <w:rPr>
          <w:rFonts w:eastAsia="Calibri" w:cs="Calibri"/>
          <w:i/>
          <w:color w:val="1F497D"/>
          <w:sz w:val="24"/>
          <w:szCs w:val="24"/>
        </w:rPr>
        <w:t>0</w:t>
      </w:r>
      <w:r w:rsidR="00FC04C8">
        <w:rPr>
          <w:rFonts w:eastAsia="Calibri" w:cs="Calibri"/>
          <w:i/>
          <w:color w:val="1F497D"/>
          <w:sz w:val="24"/>
          <w:szCs w:val="24"/>
          <w:lang w:val="en-US"/>
        </w:rPr>
        <w:t>6</w:t>
      </w:r>
      <w:r w:rsidRPr="00614BE3">
        <w:rPr>
          <w:rFonts w:eastAsia="Calibri" w:cs="Calibri"/>
          <w:i/>
          <w:color w:val="1F497D"/>
          <w:sz w:val="24"/>
          <w:szCs w:val="24"/>
        </w:rPr>
        <w:t>.201</w:t>
      </w:r>
      <w:r w:rsidR="009C2E37" w:rsidRPr="00614BE3">
        <w:rPr>
          <w:rFonts w:eastAsia="Calibri" w:cs="Calibri"/>
          <w:i/>
          <w:color w:val="1F497D"/>
          <w:sz w:val="24"/>
          <w:szCs w:val="24"/>
        </w:rPr>
        <w:t>7</w:t>
      </w:r>
      <w:r w:rsidRPr="00614BE3">
        <w:rPr>
          <w:rFonts w:eastAsia="Calibri" w:cs="Calibri"/>
          <w:i/>
          <w:color w:val="1F497D"/>
          <w:sz w:val="24"/>
          <w:szCs w:val="24"/>
        </w:rPr>
        <w:t xml:space="preserve"> г.</w:t>
      </w:r>
    </w:p>
    <w:p w:rsidR="00AE58E5" w:rsidRDefault="00AE58E5" w:rsidP="00E8183A">
      <w:pPr>
        <w:suppressAutoHyphens/>
        <w:autoSpaceDN w:val="0"/>
        <w:spacing w:before="40" w:after="40" w:line="240" w:lineRule="auto"/>
        <w:jc w:val="both"/>
        <w:textAlignment w:val="baseline"/>
        <w:rPr>
          <w:rFonts w:eastAsia="Calibri" w:cs="Calibri"/>
          <w:b/>
          <w:color w:val="1F497D"/>
          <w:sz w:val="24"/>
          <w:szCs w:val="24"/>
        </w:rPr>
      </w:pPr>
      <w:bookmarkStart w:id="15" w:name="to_paragraph_id23576130"/>
      <w:bookmarkEnd w:id="15"/>
    </w:p>
    <w:p w:rsidR="008A36BE" w:rsidRPr="00893A2E" w:rsidRDefault="008A36BE" w:rsidP="008A36BE">
      <w:pPr>
        <w:widowControl w:val="0"/>
        <w:autoSpaceDE w:val="0"/>
        <w:autoSpaceDN w:val="0"/>
        <w:adjustRightInd w:val="0"/>
        <w:spacing w:after="0" w:line="240" w:lineRule="auto"/>
        <w:jc w:val="both"/>
        <w:rPr>
          <w:rFonts w:asciiTheme="minorHAnsi" w:eastAsiaTheme="minorEastAsia" w:hAnsiTheme="minorHAnsi"/>
          <w:sz w:val="24"/>
          <w:szCs w:val="24"/>
          <w:lang w:val="en-US"/>
        </w:rPr>
      </w:pPr>
    </w:p>
    <w:p w:rsidR="008A36BE" w:rsidRDefault="008A36BE" w:rsidP="008A36BE">
      <w:pPr>
        <w:widowControl w:val="0"/>
        <w:autoSpaceDE w:val="0"/>
        <w:autoSpaceDN w:val="0"/>
        <w:adjustRightInd w:val="0"/>
        <w:spacing w:after="0" w:line="240" w:lineRule="auto"/>
        <w:jc w:val="both"/>
        <w:rPr>
          <w:rFonts w:asciiTheme="minorHAnsi" w:eastAsiaTheme="minorEastAsia" w:hAnsiTheme="minorHAnsi"/>
          <w:sz w:val="24"/>
          <w:szCs w:val="24"/>
        </w:rPr>
      </w:pPr>
    </w:p>
    <w:p w:rsidR="008A36BE" w:rsidRDefault="00250A7C" w:rsidP="008A36BE">
      <w:pPr>
        <w:widowControl w:val="0"/>
        <w:autoSpaceDE w:val="0"/>
        <w:autoSpaceDN w:val="0"/>
        <w:adjustRightInd w:val="0"/>
        <w:spacing w:after="0" w:line="240" w:lineRule="auto"/>
        <w:jc w:val="both"/>
        <w:rPr>
          <w:rFonts w:asciiTheme="minorHAnsi" w:eastAsiaTheme="minorEastAsia" w:hAnsiTheme="minorHAnsi"/>
          <w:sz w:val="24"/>
          <w:szCs w:val="24"/>
        </w:rPr>
      </w:pPr>
      <w:r w:rsidRPr="00893A2E">
        <w:rPr>
          <w:rFonts w:asciiTheme="minorHAnsi" w:eastAsiaTheme="minorEastAsia" w:hAnsiTheme="minorHAnsi"/>
          <w:noProof/>
          <w:sz w:val="24"/>
          <w:szCs w:val="24"/>
        </w:rPr>
        <w:drawing>
          <wp:inline distT="0" distB="0" distL="0" distR="0" wp14:anchorId="7610279B" wp14:editId="64CC5FD0">
            <wp:extent cx="5953125" cy="2305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RM Q2 2017.png"/>
                    <pic:cNvPicPr/>
                  </pic:nvPicPr>
                  <pic:blipFill>
                    <a:blip r:embed="rId17">
                      <a:extLst>
                        <a:ext uri="{28A0092B-C50C-407E-A947-70E740481C1C}">
                          <a14:useLocalDpi xmlns:a14="http://schemas.microsoft.com/office/drawing/2010/main" val="0"/>
                        </a:ext>
                      </a:extLst>
                    </a:blip>
                    <a:stretch>
                      <a:fillRect/>
                    </a:stretch>
                  </pic:blipFill>
                  <pic:spPr>
                    <a:xfrm>
                      <a:off x="0" y="0"/>
                      <a:ext cx="5957570" cy="2306771"/>
                    </a:xfrm>
                    <a:prstGeom prst="rect">
                      <a:avLst/>
                    </a:prstGeom>
                  </pic:spPr>
                </pic:pic>
              </a:graphicData>
            </a:graphic>
          </wp:inline>
        </w:drawing>
      </w:r>
    </w:p>
    <w:p w:rsidR="00624E66" w:rsidRDefault="00624E66" w:rsidP="008A36BE">
      <w:pPr>
        <w:widowControl w:val="0"/>
        <w:autoSpaceDE w:val="0"/>
        <w:autoSpaceDN w:val="0"/>
        <w:adjustRightInd w:val="0"/>
        <w:spacing w:after="0" w:line="240" w:lineRule="auto"/>
        <w:jc w:val="both"/>
        <w:rPr>
          <w:rFonts w:asciiTheme="minorHAnsi" w:eastAsiaTheme="minorEastAsia" w:hAnsiTheme="minorHAnsi"/>
          <w:sz w:val="24"/>
          <w:szCs w:val="24"/>
          <w:lang w:val="en-US"/>
        </w:rPr>
      </w:pPr>
    </w:p>
    <w:p w:rsidR="00624E66" w:rsidRDefault="00624E66" w:rsidP="008A36BE">
      <w:pPr>
        <w:widowControl w:val="0"/>
        <w:autoSpaceDE w:val="0"/>
        <w:autoSpaceDN w:val="0"/>
        <w:adjustRightInd w:val="0"/>
        <w:spacing w:after="0" w:line="240" w:lineRule="auto"/>
        <w:jc w:val="both"/>
        <w:rPr>
          <w:rFonts w:asciiTheme="minorHAnsi" w:eastAsiaTheme="minorEastAsia" w:hAnsiTheme="minorHAnsi"/>
          <w:sz w:val="24"/>
          <w:szCs w:val="24"/>
          <w:lang w:val="en-US"/>
        </w:rPr>
      </w:pPr>
    </w:p>
    <w:p w:rsidR="00624E66" w:rsidRDefault="00624E66" w:rsidP="008A36BE">
      <w:pPr>
        <w:widowControl w:val="0"/>
        <w:autoSpaceDE w:val="0"/>
        <w:autoSpaceDN w:val="0"/>
        <w:adjustRightInd w:val="0"/>
        <w:spacing w:after="0" w:line="240" w:lineRule="auto"/>
        <w:jc w:val="both"/>
        <w:rPr>
          <w:rFonts w:asciiTheme="minorHAnsi" w:eastAsiaTheme="minorEastAsia" w:hAnsiTheme="minorHAnsi"/>
          <w:sz w:val="24"/>
          <w:szCs w:val="24"/>
          <w:lang w:val="en-US"/>
        </w:rPr>
      </w:pPr>
      <w:r>
        <w:rPr>
          <w:rFonts w:asciiTheme="minorHAnsi" w:eastAsiaTheme="minorEastAsia" w:hAnsiTheme="minorHAnsi"/>
          <w:sz w:val="24"/>
          <w:szCs w:val="24"/>
          <w:lang w:val="en-US"/>
        </w:rPr>
        <w:tab/>
      </w:r>
      <w:r>
        <w:rPr>
          <w:rFonts w:asciiTheme="minorHAnsi" w:eastAsiaTheme="minorEastAsia" w:hAnsiTheme="minorHAnsi"/>
          <w:sz w:val="24"/>
          <w:szCs w:val="24"/>
          <w:lang w:val="en-US"/>
        </w:rPr>
        <w:tab/>
      </w:r>
      <w:r>
        <w:rPr>
          <w:rFonts w:asciiTheme="minorHAnsi" w:eastAsiaTheme="minorEastAsia" w:hAnsiTheme="minorHAnsi"/>
          <w:sz w:val="24"/>
          <w:szCs w:val="24"/>
          <w:lang w:val="en-US"/>
        </w:rPr>
        <w:tab/>
      </w:r>
      <w:r>
        <w:rPr>
          <w:rFonts w:asciiTheme="minorHAnsi" w:eastAsiaTheme="minorEastAsia" w:hAnsiTheme="minorHAnsi"/>
          <w:sz w:val="24"/>
          <w:szCs w:val="24"/>
          <w:lang w:val="en-US"/>
        </w:rPr>
        <w:tab/>
      </w:r>
      <w:r>
        <w:rPr>
          <w:rFonts w:asciiTheme="minorHAnsi" w:eastAsiaTheme="minorEastAsia" w:hAnsiTheme="minorHAnsi"/>
          <w:sz w:val="24"/>
          <w:szCs w:val="24"/>
          <w:lang w:val="en-US"/>
        </w:rPr>
        <w:tab/>
      </w:r>
      <w:r>
        <w:rPr>
          <w:rFonts w:asciiTheme="minorHAnsi" w:eastAsiaTheme="minorEastAsia" w:hAnsiTheme="minorHAnsi"/>
          <w:sz w:val="24"/>
          <w:szCs w:val="24"/>
          <w:lang w:val="en-US"/>
        </w:rPr>
        <w:tab/>
      </w:r>
      <w:r>
        <w:rPr>
          <w:noProof/>
        </w:rPr>
        <w:drawing>
          <wp:inline distT="0" distB="0" distL="0" distR="0" wp14:anchorId="0F84AE2B" wp14:editId="701A67E8">
            <wp:extent cx="952500" cy="111442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18"/>
                    <a:srcRect/>
                    <a:stretch>
                      <a:fillRect/>
                    </a:stretch>
                  </pic:blipFill>
                  <pic:spPr bwMode="auto">
                    <a:xfrm>
                      <a:off x="0" y="0"/>
                      <a:ext cx="955214" cy="1117600"/>
                    </a:xfrm>
                    <a:prstGeom prst="rect">
                      <a:avLst/>
                    </a:prstGeom>
                    <a:noFill/>
                    <a:ln w="9525">
                      <a:noFill/>
                      <a:miter lim="800000"/>
                      <a:headEnd/>
                      <a:tailEnd/>
                    </a:ln>
                  </pic:spPr>
                </pic:pic>
              </a:graphicData>
            </a:graphic>
          </wp:inline>
        </w:drawing>
      </w:r>
    </w:p>
    <w:p w:rsidR="00CA426D" w:rsidRPr="00AE6DEE" w:rsidRDefault="00CA426D" w:rsidP="004A4CB6">
      <w:pPr>
        <w:suppressAutoHyphens/>
        <w:autoSpaceDN w:val="0"/>
        <w:spacing w:before="40" w:after="40" w:line="240" w:lineRule="auto"/>
        <w:jc w:val="both"/>
        <w:textAlignment w:val="baseline"/>
        <w:rPr>
          <w:rFonts w:eastAsia="Calibri" w:cs="Calibri"/>
          <w:sz w:val="24"/>
          <w:szCs w:val="24"/>
        </w:rPr>
      </w:pPr>
      <w:r w:rsidRPr="00AE6DEE">
        <w:rPr>
          <w:rFonts w:eastAsia="Calibri" w:cs="Calibri"/>
          <w:sz w:val="24"/>
          <w:szCs w:val="24"/>
        </w:rPr>
        <w:tab/>
      </w:r>
      <w:r w:rsidRPr="00AE6DEE">
        <w:rPr>
          <w:rFonts w:eastAsia="Calibri" w:cs="Calibri"/>
          <w:sz w:val="24"/>
          <w:szCs w:val="24"/>
        </w:rPr>
        <w:tab/>
      </w:r>
      <w:r w:rsidRPr="00AE6DEE">
        <w:rPr>
          <w:rFonts w:eastAsia="Calibri" w:cs="Calibri"/>
          <w:sz w:val="24"/>
          <w:szCs w:val="24"/>
        </w:rPr>
        <w:tab/>
      </w:r>
      <w:r w:rsidRPr="00AE6DEE">
        <w:rPr>
          <w:rFonts w:eastAsia="Calibri" w:cs="Calibri"/>
          <w:sz w:val="24"/>
          <w:szCs w:val="24"/>
        </w:rPr>
        <w:tab/>
      </w:r>
      <w:r w:rsidR="002657DA">
        <w:rPr>
          <w:noProof/>
        </w:rPr>
        <w:t xml:space="preserve"> </w:t>
      </w:r>
      <w:r w:rsidR="00624E66">
        <w:rPr>
          <w:noProof/>
        </w:rPr>
        <w:t xml:space="preserve">                            </w:t>
      </w:r>
      <w:r w:rsidR="002657DA">
        <w:rPr>
          <w:rFonts w:eastAsia="Calibri" w:cs="Calibri"/>
          <w:sz w:val="24"/>
          <w:szCs w:val="24"/>
        </w:rPr>
        <w:t xml:space="preserve"> д.и.н. Огнян Донев</w:t>
      </w:r>
    </w:p>
    <w:p w:rsidR="000655CC" w:rsidRPr="00AE6DEE" w:rsidRDefault="00CA426D" w:rsidP="00741F79">
      <w:pPr>
        <w:suppressAutoHyphens/>
        <w:autoSpaceDN w:val="0"/>
        <w:spacing w:before="40" w:after="40" w:line="240" w:lineRule="auto"/>
        <w:ind w:left="3600" w:firstLine="720"/>
        <w:textAlignment w:val="baseline"/>
        <w:rPr>
          <w:rFonts w:eastAsia="Calibri" w:cs="Calibri"/>
          <w:sz w:val="24"/>
          <w:szCs w:val="24"/>
        </w:rPr>
      </w:pPr>
      <w:r w:rsidRPr="00AE6DEE">
        <w:rPr>
          <w:rFonts w:eastAsia="Calibri" w:cs="Calibri"/>
          <w:sz w:val="24"/>
          <w:szCs w:val="24"/>
        </w:rPr>
        <w:t xml:space="preserve"> /Изпълнителен директор/</w:t>
      </w:r>
    </w:p>
    <w:sectPr w:rsidR="000655CC" w:rsidRPr="00AE6DEE" w:rsidSect="007C2219">
      <w:footerReference w:type="default" r:id="rId19"/>
      <w:footerReference w:type="first" r:id="rId20"/>
      <w:footnotePr>
        <w:pos w:val="beneathText"/>
      </w:footnotePr>
      <w:pgSz w:w="12240" w:h="15840"/>
      <w:pgMar w:top="851" w:right="1440" w:bottom="1440" w:left="141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1F0" w:rsidRDefault="008251F0">
      <w:pPr>
        <w:spacing w:after="0" w:line="240" w:lineRule="auto"/>
      </w:pPr>
      <w:r>
        <w:separator/>
      </w:r>
    </w:p>
  </w:endnote>
  <w:endnote w:type="continuationSeparator" w:id="0">
    <w:p w:rsidR="008251F0" w:rsidRDefault="008251F0">
      <w:pPr>
        <w:spacing w:after="0" w:line="240" w:lineRule="auto"/>
      </w:pPr>
      <w:r>
        <w:continuationSeparator/>
      </w:r>
    </w:p>
  </w:endnote>
  <w:endnote w:type="continuationNotice" w:id="1">
    <w:p w:rsidR="008251F0" w:rsidRDefault="008251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Franklin Gothic Heavy">
    <w:altName w:val="Arial Black"/>
    <w:charset w:val="00"/>
    <w:family w:val="auto"/>
    <w:pitch w:val="variable"/>
    <w:sig w:usb0="00000001"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5B" w:rsidRPr="00313D6C" w:rsidRDefault="007B005B" w:rsidP="00313D6C">
    <w:pPr>
      <w:pStyle w:val="Footer"/>
      <w:pBdr>
        <w:top w:val="single" w:sz="4" w:space="1" w:color="A5A5A5"/>
      </w:pBdr>
      <w:jc w:val="right"/>
      <w:rPr>
        <w:color w:val="4F81BD"/>
        <w:lang w:eastAsia="en-US"/>
      </w:rPr>
    </w:pPr>
    <w:r>
      <w:rPr>
        <w:noProof/>
      </w:rPr>
      <mc:AlternateContent>
        <mc:Choice Requires="wps">
          <w:drawing>
            <wp:anchor distT="0" distB="0" distL="114300" distR="114300" simplePos="0" relativeHeight="251657728" behindDoc="0" locked="0" layoutInCell="1" allowOverlap="1" wp14:anchorId="7E998AA7" wp14:editId="6369275F">
              <wp:simplePos x="0" y="0"/>
              <wp:positionH relativeFrom="column">
                <wp:posOffset>6102350</wp:posOffset>
              </wp:positionH>
              <wp:positionV relativeFrom="paragraph">
                <wp:posOffset>169545</wp:posOffset>
              </wp:positionV>
              <wp:extent cx="661670" cy="2317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317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05B" w:rsidRPr="00313D6C" w:rsidRDefault="007B005B" w:rsidP="0082039E">
                          <w:pPr>
                            <w:jc w:val="center"/>
                            <w:rPr>
                              <w:color w:val="4F81BD"/>
                            </w:rPr>
                          </w:pPr>
                          <w:r>
                            <w:fldChar w:fldCharType="begin"/>
                          </w:r>
                          <w:r>
                            <w:instrText xml:space="preserve"> PAGE   \* MERGEFORMAT </w:instrText>
                          </w:r>
                          <w:r>
                            <w:fldChar w:fldCharType="separate"/>
                          </w:r>
                          <w:r w:rsidR="00BE0A7A" w:rsidRPr="00BE0A7A">
                            <w:rPr>
                              <w:noProof/>
                              <w:color w:val="4F81BD"/>
                            </w:rPr>
                            <w:t>1</w:t>
                          </w:r>
                          <w:r>
                            <w:rPr>
                              <w:noProof/>
                              <w:color w:val="4F81B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480.5pt;margin-top:13.35pt;width:52.1pt;height:1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6eqgIAAJo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" filled="f" stroked="f">
              <v:textbox inset=",0,,0">
                <w:txbxContent>
                  <w:p w:rsidR="007B005B" w:rsidRPr="00313D6C" w:rsidRDefault="007B005B" w:rsidP="0082039E">
                    <w:pPr>
                      <w:jc w:val="center"/>
                      <w:rPr>
                        <w:color w:val="4F81BD"/>
                      </w:rPr>
                    </w:pPr>
                    <w:r>
                      <w:fldChar w:fldCharType="begin"/>
                    </w:r>
                    <w:r>
                      <w:instrText xml:space="preserve"> PAGE   \* MERGEFORMAT </w:instrText>
                    </w:r>
                    <w:r>
                      <w:fldChar w:fldCharType="separate"/>
                    </w:r>
                    <w:r w:rsidR="00BE0A7A" w:rsidRPr="00BE0A7A">
                      <w:rPr>
                        <w:noProof/>
                        <w:color w:val="4F81BD"/>
                      </w:rPr>
                      <w:t>1</w:t>
                    </w:r>
                    <w:r>
                      <w:rPr>
                        <w:noProof/>
                        <w:color w:val="4F81BD"/>
                      </w:rPr>
                      <w:fldChar w:fldCharType="end"/>
                    </w:r>
                  </w:p>
                </w:txbxContent>
              </v:textbox>
            </v:shape>
          </w:pict>
        </mc:Fallback>
      </mc:AlternateContent>
    </w:r>
    <w:r>
      <w:rPr>
        <w:color w:val="4F81BD"/>
        <w:lang w:eastAsia="en-US"/>
      </w:rPr>
      <w:t xml:space="preserve"> </w:t>
    </w:r>
    <w:r w:rsidRPr="00313D6C">
      <w:rPr>
        <w:color w:val="4F81BD"/>
        <w:lang w:eastAsia="en-US"/>
      </w:rPr>
      <w:t xml:space="preserve">Доклад за дейността на Софарма АД за </w:t>
    </w:r>
    <w:r>
      <w:rPr>
        <w:color w:val="4F81BD"/>
        <w:lang w:eastAsia="en-US"/>
      </w:rPr>
      <w:t>първо полугодие 2017</w:t>
    </w:r>
    <w:r w:rsidRPr="00313D6C">
      <w:rPr>
        <w:color w:val="4F81BD"/>
        <w:lang w:eastAsia="en-US"/>
      </w:rPr>
      <w:t xml:space="preserve"> г.</w:t>
    </w:r>
    <w:r w:rsidRPr="00313D6C">
      <w:rPr>
        <w:color w:val="808080"/>
        <w:lang w:val="ru-RU" w:eastAsia="en-US"/>
      </w:rPr>
      <w:t xml:space="preserve"> </w:t>
    </w:r>
  </w:p>
  <w:p w:rsidR="007B005B" w:rsidRDefault="007B005B">
    <w:pPr>
      <w:pStyle w:val="Footer"/>
      <w:jc w:val="right"/>
    </w:pPr>
  </w:p>
  <w:p w:rsidR="007B005B" w:rsidRPr="00786525" w:rsidRDefault="007B005B" w:rsidP="007865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5B" w:rsidRDefault="007B005B">
    <w:pPr>
      <w:pStyle w:val="Footer"/>
      <w:jc w:val="right"/>
    </w:pPr>
  </w:p>
  <w:p w:rsidR="007B005B" w:rsidRDefault="007B005B" w:rsidP="00EB330B">
    <w:pPr>
      <w:pStyle w:val="Footer"/>
      <w:tabs>
        <w:tab w:val="left" w:pos="72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1F0" w:rsidRDefault="008251F0">
      <w:pPr>
        <w:spacing w:after="0" w:line="240" w:lineRule="auto"/>
      </w:pPr>
      <w:r>
        <w:separator/>
      </w:r>
    </w:p>
  </w:footnote>
  <w:footnote w:type="continuationSeparator" w:id="0">
    <w:p w:rsidR="008251F0" w:rsidRDefault="008251F0">
      <w:pPr>
        <w:spacing w:after="0" w:line="240" w:lineRule="auto"/>
      </w:pPr>
      <w:r>
        <w:continuationSeparator/>
      </w:r>
    </w:p>
  </w:footnote>
  <w:footnote w:type="continuationNotice" w:id="1">
    <w:p w:rsidR="008251F0" w:rsidRDefault="008251F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9pt;height:10.9pt" o:bullet="t">
        <v:imagedata r:id="rId1" o:title=""/>
      </v:shape>
    </w:pict>
  </w:numPicBullet>
  <w:abstractNum w:abstractNumId="0">
    <w:nsid w:val="00237687"/>
    <w:multiLevelType w:val="hybridMultilevel"/>
    <w:tmpl w:val="D4ECF112"/>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008757FE"/>
    <w:multiLevelType w:val="hybridMultilevel"/>
    <w:tmpl w:val="07CECB18"/>
    <w:lvl w:ilvl="0" w:tplc="5E9AB86E">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
    <w:nsid w:val="009A3ABA"/>
    <w:multiLevelType w:val="hybridMultilevel"/>
    <w:tmpl w:val="58729BE6"/>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421FA"/>
    <w:multiLevelType w:val="hybridMultilevel"/>
    <w:tmpl w:val="411073A4"/>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65AE7"/>
    <w:multiLevelType w:val="multilevel"/>
    <w:tmpl w:val="50E4CAF6"/>
    <w:lvl w:ilvl="0">
      <w:numFmt w:val="bullet"/>
      <w:lvlText w:val=""/>
      <w:lvlPicBulletId w:val="0"/>
      <w:lvlJc w:val="left"/>
      <w:pPr>
        <w:ind w:left="720" w:hanging="360"/>
      </w:pPr>
      <w:rPr>
        <w:rFonts w:hAnsi="Symbol" w:hint="default"/>
        <w:sz w:val="20"/>
      </w:rPr>
    </w:lvl>
    <w:lvl w:ilvl="1">
      <w:numFmt w:val="bullet"/>
      <w:lvlText w:val=""/>
      <w:lvlPicBulletId w:val="0"/>
      <w:lvlJc w:val="left"/>
      <w:pPr>
        <w:ind w:left="786" w:hanging="360"/>
      </w:pPr>
      <w:rPr>
        <w:rFonts w:hAnsi="Symbol" w:hint="default"/>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8F127EC"/>
    <w:multiLevelType w:val="hybridMultilevel"/>
    <w:tmpl w:val="6F0EF55E"/>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B31410"/>
    <w:multiLevelType w:val="hybridMultilevel"/>
    <w:tmpl w:val="C7C0A316"/>
    <w:lvl w:ilvl="0" w:tplc="03DC8608">
      <w:start w:val="1"/>
      <w:numFmt w:val="bullet"/>
      <w:lvlText w:val=""/>
      <w:lvlJc w:val="left"/>
      <w:pPr>
        <w:tabs>
          <w:tab w:val="num" w:pos="1080"/>
        </w:tabs>
        <w:ind w:left="720" w:firstLine="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D191E4F"/>
    <w:multiLevelType w:val="hybridMultilevel"/>
    <w:tmpl w:val="0C1A9DFE"/>
    <w:lvl w:ilvl="0" w:tplc="B082F2E6">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0E4532B8"/>
    <w:multiLevelType w:val="hybridMultilevel"/>
    <w:tmpl w:val="D2E8B6E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026364E"/>
    <w:multiLevelType w:val="multilevel"/>
    <w:tmpl w:val="391C79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2784503"/>
    <w:multiLevelType w:val="hybridMultilevel"/>
    <w:tmpl w:val="A978F1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0502C"/>
    <w:multiLevelType w:val="multilevel"/>
    <w:tmpl w:val="E270781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910291B"/>
    <w:multiLevelType w:val="hybridMultilevel"/>
    <w:tmpl w:val="670800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19C00B51"/>
    <w:multiLevelType w:val="hybridMultilevel"/>
    <w:tmpl w:val="9D2A021C"/>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A6CBE"/>
    <w:multiLevelType w:val="hybridMultilevel"/>
    <w:tmpl w:val="F67446B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1C6D3804"/>
    <w:multiLevelType w:val="hybridMultilevel"/>
    <w:tmpl w:val="9E360E84"/>
    <w:name w:val="tsb"/>
    <w:lvl w:ilvl="0" w:tplc="04090007">
      <w:start w:val="1"/>
      <w:numFmt w:val="bullet"/>
      <w:lvlText w:val=""/>
      <w:lvlPicBulletId w:val="0"/>
      <w:lvlJc w:val="left"/>
      <w:pPr>
        <w:tabs>
          <w:tab w:val="num" w:pos="928"/>
        </w:tabs>
        <w:ind w:left="928" w:hanging="360"/>
      </w:pPr>
      <w:rPr>
        <w:rFonts w:ascii="Symbol" w:hAnsi="Symbol" w:hint="default"/>
      </w:rPr>
    </w:lvl>
    <w:lvl w:ilvl="1" w:tplc="FFFFFFFF">
      <w:start w:val="1"/>
      <w:numFmt w:val="bullet"/>
      <w:lvlText w:val="o"/>
      <w:lvlJc w:val="left"/>
      <w:pPr>
        <w:tabs>
          <w:tab w:val="num" w:pos="1648"/>
        </w:tabs>
        <w:ind w:left="1648" w:hanging="360"/>
      </w:pPr>
      <w:rPr>
        <w:rFonts w:ascii="Courier New" w:hAnsi="Courier New" w:cs="Courier New" w:hint="default"/>
      </w:rPr>
    </w:lvl>
    <w:lvl w:ilvl="2" w:tplc="FFFFFFFF">
      <w:start w:val="1"/>
      <w:numFmt w:val="bullet"/>
      <w:lvlText w:val=""/>
      <w:lvlJc w:val="left"/>
      <w:pPr>
        <w:tabs>
          <w:tab w:val="num" w:pos="2368"/>
        </w:tabs>
        <w:ind w:left="2368" w:hanging="360"/>
      </w:pPr>
      <w:rPr>
        <w:rFonts w:ascii="Wingdings" w:hAnsi="Wingdings" w:cs="Wingdings" w:hint="default"/>
      </w:rPr>
    </w:lvl>
    <w:lvl w:ilvl="3" w:tplc="FFFFFFFF">
      <w:start w:val="1"/>
      <w:numFmt w:val="bullet"/>
      <w:lvlText w:val=""/>
      <w:lvlJc w:val="left"/>
      <w:pPr>
        <w:tabs>
          <w:tab w:val="num" w:pos="3088"/>
        </w:tabs>
        <w:ind w:left="3088" w:hanging="360"/>
      </w:pPr>
      <w:rPr>
        <w:rFonts w:ascii="Symbol" w:hAnsi="Symbol" w:cs="Symbol" w:hint="default"/>
      </w:rPr>
    </w:lvl>
    <w:lvl w:ilvl="4" w:tplc="FFFFFFFF">
      <w:start w:val="1"/>
      <w:numFmt w:val="bullet"/>
      <w:lvlText w:val="o"/>
      <w:lvlJc w:val="left"/>
      <w:pPr>
        <w:tabs>
          <w:tab w:val="num" w:pos="3808"/>
        </w:tabs>
        <w:ind w:left="3808" w:hanging="360"/>
      </w:pPr>
      <w:rPr>
        <w:rFonts w:ascii="Courier New" w:hAnsi="Courier New" w:cs="Courier New" w:hint="default"/>
      </w:rPr>
    </w:lvl>
    <w:lvl w:ilvl="5" w:tplc="FFFFFFFF">
      <w:start w:val="1"/>
      <w:numFmt w:val="bullet"/>
      <w:lvlText w:val=""/>
      <w:lvlJc w:val="left"/>
      <w:pPr>
        <w:tabs>
          <w:tab w:val="num" w:pos="4528"/>
        </w:tabs>
        <w:ind w:left="4528" w:hanging="360"/>
      </w:pPr>
      <w:rPr>
        <w:rFonts w:ascii="Wingdings" w:hAnsi="Wingdings" w:cs="Wingdings" w:hint="default"/>
      </w:rPr>
    </w:lvl>
    <w:lvl w:ilvl="6" w:tplc="FFFFFFFF">
      <w:start w:val="1"/>
      <w:numFmt w:val="bullet"/>
      <w:lvlText w:val=""/>
      <w:lvlJc w:val="left"/>
      <w:pPr>
        <w:tabs>
          <w:tab w:val="num" w:pos="5248"/>
        </w:tabs>
        <w:ind w:left="5248" w:hanging="360"/>
      </w:pPr>
      <w:rPr>
        <w:rFonts w:ascii="Symbol" w:hAnsi="Symbol" w:cs="Symbol" w:hint="default"/>
      </w:rPr>
    </w:lvl>
    <w:lvl w:ilvl="7" w:tplc="FFFFFFFF">
      <w:start w:val="1"/>
      <w:numFmt w:val="bullet"/>
      <w:lvlText w:val="o"/>
      <w:lvlJc w:val="left"/>
      <w:pPr>
        <w:tabs>
          <w:tab w:val="num" w:pos="5968"/>
        </w:tabs>
        <w:ind w:left="5968" w:hanging="360"/>
      </w:pPr>
      <w:rPr>
        <w:rFonts w:ascii="Courier New" w:hAnsi="Courier New" w:cs="Courier New" w:hint="default"/>
      </w:rPr>
    </w:lvl>
    <w:lvl w:ilvl="8" w:tplc="FFFFFFFF">
      <w:start w:val="1"/>
      <w:numFmt w:val="bullet"/>
      <w:lvlText w:val=""/>
      <w:lvlJc w:val="left"/>
      <w:pPr>
        <w:tabs>
          <w:tab w:val="num" w:pos="6688"/>
        </w:tabs>
        <w:ind w:left="6688" w:hanging="360"/>
      </w:pPr>
      <w:rPr>
        <w:rFonts w:ascii="Wingdings" w:hAnsi="Wingdings" w:cs="Wingdings" w:hint="default"/>
      </w:rPr>
    </w:lvl>
  </w:abstractNum>
  <w:abstractNum w:abstractNumId="16">
    <w:nsid w:val="1D2137AB"/>
    <w:multiLevelType w:val="multilevel"/>
    <w:tmpl w:val="AA5E6478"/>
    <w:lvl w:ilvl="0">
      <w:numFmt w:val="bullet"/>
      <w:lvlText w:val=""/>
      <w:lvlPicBulletId w:val="0"/>
      <w:lvlJc w:val="left"/>
      <w:pPr>
        <w:ind w:left="1440" w:hanging="360"/>
      </w:pPr>
      <w:rPr>
        <w:rFonts w:hAnsi="Symbol" w:hint="default"/>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nsid w:val="26095757"/>
    <w:multiLevelType w:val="multilevel"/>
    <w:tmpl w:val="E270781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832539F"/>
    <w:multiLevelType w:val="multilevel"/>
    <w:tmpl w:val="5FE43F7E"/>
    <w:lvl w:ilvl="0">
      <w:numFmt w:val="bullet"/>
      <w:lvlText w:val=""/>
      <w:lvlPicBulletId w:val="0"/>
      <w:lvlJc w:val="left"/>
      <w:pPr>
        <w:ind w:left="720" w:hanging="360"/>
      </w:pPr>
      <w:rPr>
        <w:rFonts w:hAnsi="Symbol" w:hint="default"/>
        <w:sz w:val="20"/>
      </w:rPr>
    </w:lvl>
    <w:lvl w:ilvl="1">
      <w:numFmt w:val="bullet"/>
      <w:lvlText w:val=""/>
      <w:lvlPicBulletId w:val="0"/>
      <w:lvlJc w:val="left"/>
      <w:pPr>
        <w:ind w:left="1440" w:hanging="360"/>
      </w:pPr>
      <w:rPr>
        <w:rFonts w:hAnsi="Symbol" w:hint="default"/>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285F0CD7"/>
    <w:multiLevelType w:val="hybridMultilevel"/>
    <w:tmpl w:val="9740DFDC"/>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A344F66"/>
    <w:multiLevelType w:val="hybridMultilevel"/>
    <w:tmpl w:val="4836AB76"/>
    <w:lvl w:ilvl="0" w:tplc="8D184D78">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565811"/>
    <w:multiLevelType w:val="hybridMultilevel"/>
    <w:tmpl w:val="A9583D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6F6C5E"/>
    <w:multiLevelType w:val="hybridMultilevel"/>
    <w:tmpl w:val="45D8F00E"/>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932D29"/>
    <w:multiLevelType w:val="hybridMultilevel"/>
    <w:tmpl w:val="652E325A"/>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7F16DE"/>
    <w:multiLevelType w:val="hybridMultilevel"/>
    <w:tmpl w:val="041290CE"/>
    <w:lvl w:ilvl="0" w:tplc="0402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E220BEB"/>
    <w:multiLevelType w:val="hybridMultilevel"/>
    <w:tmpl w:val="13C0165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F173375"/>
    <w:multiLevelType w:val="hybridMultilevel"/>
    <w:tmpl w:val="67C098D6"/>
    <w:lvl w:ilvl="0" w:tplc="90C4138C">
      <w:start w:val="1"/>
      <w:numFmt w:val="decimal"/>
      <w:lvlText w:val="%1."/>
      <w:lvlJc w:val="left"/>
      <w:pPr>
        <w:ind w:left="720" w:hanging="360"/>
      </w:pPr>
      <w:rPr>
        <w:rFonts w:hint="default"/>
        <w:b/>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2F3F4BD8"/>
    <w:multiLevelType w:val="hybridMultilevel"/>
    <w:tmpl w:val="A45866BC"/>
    <w:lvl w:ilvl="0" w:tplc="04090007">
      <w:start w:val="1"/>
      <w:numFmt w:val="bullet"/>
      <w:lvlText w:val=""/>
      <w:lvlPicBulletId w:val="0"/>
      <w:lvlJc w:val="left"/>
      <w:pPr>
        <w:tabs>
          <w:tab w:val="num" w:pos="1080"/>
        </w:tabs>
        <w:ind w:left="720" w:firstLine="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2FCC5714"/>
    <w:multiLevelType w:val="hybridMultilevel"/>
    <w:tmpl w:val="6964B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5D4E80"/>
    <w:multiLevelType w:val="hybridMultilevel"/>
    <w:tmpl w:val="5D3641A0"/>
    <w:lvl w:ilvl="0" w:tplc="77AA1D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511440"/>
    <w:multiLevelType w:val="hybridMultilevel"/>
    <w:tmpl w:val="2D240C92"/>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59715C7"/>
    <w:multiLevelType w:val="hybridMultilevel"/>
    <w:tmpl w:val="665061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39617CA7"/>
    <w:multiLevelType w:val="hybridMultilevel"/>
    <w:tmpl w:val="AD7017AA"/>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885673"/>
    <w:multiLevelType w:val="hybridMultilevel"/>
    <w:tmpl w:val="74C0892C"/>
    <w:lvl w:ilvl="0" w:tplc="0402000D">
      <w:start w:val="1"/>
      <w:numFmt w:val="bullet"/>
      <w:lvlText w:val=""/>
      <w:lvlJc w:val="left"/>
      <w:pPr>
        <w:ind w:left="1710" w:hanging="360"/>
      </w:pPr>
      <w:rPr>
        <w:rFonts w:ascii="Wingdings" w:hAnsi="Wingdings" w:hint="default"/>
      </w:rPr>
    </w:lvl>
    <w:lvl w:ilvl="1" w:tplc="04020003">
      <w:start w:val="1"/>
      <w:numFmt w:val="bullet"/>
      <w:lvlText w:val="o"/>
      <w:lvlJc w:val="left"/>
      <w:pPr>
        <w:ind w:left="2430" w:hanging="360"/>
      </w:pPr>
      <w:rPr>
        <w:rFonts w:ascii="Courier New" w:hAnsi="Courier New" w:cs="Courier New" w:hint="default"/>
      </w:rPr>
    </w:lvl>
    <w:lvl w:ilvl="2" w:tplc="04020005" w:tentative="1">
      <w:start w:val="1"/>
      <w:numFmt w:val="bullet"/>
      <w:lvlText w:val=""/>
      <w:lvlJc w:val="left"/>
      <w:pPr>
        <w:ind w:left="3150" w:hanging="360"/>
      </w:pPr>
      <w:rPr>
        <w:rFonts w:ascii="Wingdings" w:hAnsi="Wingdings" w:hint="default"/>
      </w:rPr>
    </w:lvl>
    <w:lvl w:ilvl="3" w:tplc="04020001" w:tentative="1">
      <w:start w:val="1"/>
      <w:numFmt w:val="bullet"/>
      <w:lvlText w:val=""/>
      <w:lvlJc w:val="left"/>
      <w:pPr>
        <w:ind w:left="3870" w:hanging="360"/>
      </w:pPr>
      <w:rPr>
        <w:rFonts w:ascii="Symbol" w:hAnsi="Symbol" w:hint="default"/>
      </w:rPr>
    </w:lvl>
    <w:lvl w:ilvl="4" w:tplc="04020003" w:tentative="1">
      <w:start w:val="1"/>
      <w:numFmt w:val="bullet"/>
      <w:lvlText w:val="o"/>
      <w:lvlJc w:val="left"/>
      <w:pPr>
        <w:ind w:left="4590" w:hanging="360"/>
      </w:pPr>
      <w:rPr>
        <w:rFonts w:ascii="Courier New" w:hAnsi="Courier New" w:cs="Courier New" w:hint="default"/>
      </w:rPr>
    </w:lvl>
    <w:lvl w:ilvl="5" w:tplc="04020005" w:tentative="1">
      <w:start w:val="1"/>
      <w:numFmt w:val="bullet"/>
      <w:lvlText w:val=""/>
      <w:lvlJc w:val="left"/>
      <w:pPr>
        <w:ind w:left="5310" w:hanging="360"/>
      </w:pPr>
      <w:rPr>
        <w:rFonts w:ascii="Wingdings" w:hAnsi="Wingdings" w:hint="default"/>
      </w:rPr>
    </w:lvl>
    <w:lvl w:ilvl="6" w:tplc="04020001" w:tentative="1">
      <w:start w:val="1"/>
      <w:numFmt w:val="bullet"/>
      <w:lvlText w:val=""/>
      <w:lvlJc w:val="left"/>
      <w:pPr>
        <w:ind w:left="6030" w:hanging="360"/>
      </w:pPr>
      <w:rPr>
        <w:rFonts w:ascii="Symbol" w:hAnsi="Symbol" w:hint="default"/>
      </w:rPr>
    </w:lvl>
    <w:lvl w:ilvl="7" w:tplc="04020003" w:tentative="1">
      <w:start w:val="1"/>
      <w:numFmt w:val="bullet"/>
      <w:lvlText w:val="o"/>
      <w:lvlJc w:val="left"/>
      <w:pPr>
        <w:ind w:left="6750" w:hanging="360"/>
      </w:pPr>
      <w:rPr>
        <w:rFonts w:ascii="Courier New" w:hAnsi="Courier New" w:cs="Courier New" w:hint="default"/>
      </w:rPr>
    </w:lvl>
    <w:lvl w:ilvl="8" w:tplc="04020005" w:tentative="1">
      <w:start w:val="1"/>
      <w:numFmt w:val="bullet"/>
      <w:lvlText w:val=""/>
      <w:lvlJc w:val="left"/>
      <w:pPr>
        <w:ind w:left="7470" w:hanging="360"/>
      </w:pPr>
      <w:rPr>
        <w:rFonts w:ascii="Wingdings" w:hAnsi="Wingdings" w:hint="default"/>
      </w:rPr>
    </w:lvl>
  </w:abstractNum>
  <w:abstractNum w:abstractNumId="34">
    <w:nsid w:val="39AB093B"/>
    <w:multiLevelType w:val="hybridMultilevel"/>
    <w:tmpl w:val="88E2E734"/>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645BA9"/>
    <w:multiLevelType w:val="hybridMultilevel"/>
    <w:tmpl w:val="050C1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48665E"/>
    <w:multiLevelType w:val="hybridMultilevel"/>
    <w:tmpl w:val="0172CFD6"/>
    <w:lvl w:ilvl="0" w:tplc="04020007">
      <w:start w:val="1"/>
      <w:numFmt w:val="bullet"/>
      <w:lvlText w:val=""/>
      <w:lvlPicBulletId w:val="0"/>
      <w:lvlJc w:val="left"/>
      <w:pPr>
        <w:ind w:left="928" w:hanging="360"/>
      </w:pPr>
      <w:rPr>
        <w:rFonts w:ascii="Symbol" w:hAnsi="Symbol"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37">
    <w:nsid w:val="3DCA2765"/>
    <w:multiLevelType w:val="hybridMultilevel"/>
    <w:tmpl w:val="2A2ADE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3FFE4063"/>
    <w:multiLevelType w:val="hybridMultilevel"/>
    <w:tmpl w:val="A7BEB5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23225F"/>
    <w:multiLevelType w:val="hybridMultilevel"/>
    <w:tmpl w:val="F18AD528"/>
    <w:lvl w:ilvl="0" w:tplc="04020007">
      <w:start w:val="1"/>
      <w:numFmt w:val="bullet"/>
      <w:lvlText w:val=""/>
      <w:lvlPicBulletId w:val="0"/>
      <w:lvlJc w:val="left"/>
      <w:pPr>
        <w:ind w:left="1350" w:hanging="360"/>
      </w:pPr>
      <w:rPr>
        <w:rFonts w:ascii="Symbol" w:hAnsi="Symbol" w:hint="default"/>
      </w:rPr>
    </w:lvl>
    <w:lvl w:ilvl="1" w:tplc="12185F34">
      <w:numFmt w:val="bullet"/>
      <w:lvlText w:val="•"/>
      <w:lvlJc w:val="left"/>
      <w:pPr>
        <w:ind w:left="2430" w:hanging="720"/>
      </w:pPr>
      <w:rPr>
        <w:rFonts w:ascii="Calibri" w:eastAsia="Calibri" w:hAnsi="Calibri" w:cs="Calibri"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40">
    <w:nsid w:val="458F3A14"/>
    <w:multiLevelType w:val="hybridMultilevel"/>
    <w:tmpl w:val="0BA88F1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473745CB"/>
    <w:multiLevelType w:val="multilevel"/>
    <w:tmpl w:val="6AE439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48994E4C"/>
    <w:multiLevelType w:val="multilevel"/>
    <w:tmpl w:val="F9CA446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4D78291F"/>
    <w:multiLevelType w:val="hybridMultilevel"/>
    <w:tmpl w:val="7B609A6C"/>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FC0BAB"/>
    <w:multiLevelType w:val="hybridMultilevel"/>
    <w:tmpl w:val="665061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nsid w:val="51880873"/>
    <w:multiLevelType w:val="hybridMultilevel"/>
    <w:tmpl w:val="827C4D06"/>
    <w:lvl w:ilvl="0" w:tplc="04090007">
      <w:start w:val="1"/>
      <w:numFmt w:val="bullet"/>
      <w:lvlText w:val=""/>
      <w:lvlPicBulletId w:val="0"/>
      <w:lvlJc w:val="left"/>
      <w:pPr>
        <w:tabs>
          <w:tab w:val="num" w:pos="786"/>
        </w:tabs>
        <w:ind w:left="786" w:hanging="360"/>
      </w:pPr>
      <w:rPr>
        <w:rFonts w:ascii="Symbol" w:hAnsi="Symbol" w:hint="default"/>
      </w:rPr>
    </w:lvl>
    <w:lvl w:ilvl="1" w:tplc="04020019" w:tentative="1">
      <w:start w:val="1"/>
      <w:numFmt w:val="lowerLetter"/>
      <w:lvlText w:val="%2."/>
      <w:lvlJc w:val="left"/>
      <w:pPr>
        <w:tabs>
          <w:tab w:val="num" w:pos="1506"/>
        </w:tabs>
        <w:ind w:left="1506" w:hanging="360"/>
      </w:pPr>
    </w:lvl>
    <w:lvl w:ilvl="2" w:tplc="0402001B" w:tentative="1">
      <w:start w:val="1"/>
      <w:numFmt w:val="lowerRoman"/>
      <w:lvlText w:val="%3."/>
      <w:lvlJc w:val="right"/>
      <w:pPr>
        <w:tabs>
          <w:tab w:val="num" w:pos="2226"/>
        </w:tabs>
        <w:ind w:left="2226" w:hanging="180"/>
      </w:pPr>
    </w:lvl>
    <w:lvl w:ilvl="3" w:tplc="0402000F" w:tentative="1">
      <w:start w:val="1"/>
      <w:numFmt w:val="decimal"/>
      <w:lvlText w:val="%4."/>
      <w:lvlJc w:val="left"/>
      <w:pPr>
        <w:tabs>
          <w:tab w:val="num" w:pos="2946"/>
        </w:tabs>
        <w:ind w:left="2946" w:hanging="360"/>
      </w:pPr>
    </w:lvl>
    <w:lvl w:ilvl="4" w:tplc="04020019" w:tentative="1">
      <w:start w:val="1"/>
      <w:numFmt w:val="lowerLetter"/>
      <w:lvlText w:val="%5."/>
      <w:lvlJc w:val="left"/>
      <w:pPr>
        <w:tabs>
          <w:tab w:val="num" w:pos="3666"/>
        </w:tabs>
        <w:ind w:left="3666" w:hanging="360"/>
      </w:pPr>
    </w:lvl>
    <w:lvl w:ilvl="5" w:tplc="0402001B" w:tentative="1">
      <w:start w:val="1"/>
      <w:numFmt w:val="lowerRoman"/>
      <w:lvlText w:val="%6."/>
      <w:lvlJc w:val="right"/>
      <w:pPr>
        <w:tabs>
          <w:tab w:val="num" w:pos="4386"/>
        </w:tabs>
        <w:ind w:left="4386" w:hanging="180"/>
      </w:pPr>
    </w:lvl>
    <w:lvl w:ilvl="6" w:tplc="0402000F" w:tentative="1">
      <w:start w:val="1"/>
      <w:numFmt w:val="decimal"/>
      <w:lvlText w:val="%7."/>
      <w:lvlJc w:val="left"/>
      <w:pPr>
        <w:tabs>
          <w:tab w:val="num" w:pos="5106"/>
        </w:tabs>
        <w:ind w:left="5106" w:hanging="360"/>
      </w:pPr>
    </w:lvl>
    <w:lvl w:ilvl="7" w:tplc="04020019" w:tentative="1">
      <w:start w:val="1"/>
      <w:numFmt w:val="lowerLetter"/>
      <w:lvlText w:val="%8."/>
      <w:lvlJc w:val="left"/>
      <w:pPr>
        <w:tabs>
          <w:tab w:val="num" w:pos="5826"/>
        </w:tabs>
        <w:ind w:left="5826" w:hanging="360"/>
      </w:pPr>
    </w:lvl>
    <w:lvl w:ilvl="8" w:tplc="0402001B" w:tentative="1">
      <w:start w:val="1"/>
      <w:numFmt w:val="lowerRoman"/>
      <w:lvlText w:val="%9."/>
      <w:lvlJc w:val="right"/>
      <w:pPr>
        <w:tabs>
          <w:tab w:val="num" w:pos="6546"/>
        </w:tabs>
        <w:ind w:left="6546" w:hanging="180"/>
      </w:pPr>
    </w:lvl>
  </w:abstractNum>
  <w:abstractNum w:abstractNumId="46">
    <w:nsid w:val="55655495"/>
    <w:multiLevelType w:val="multilevel"/>
    <w:tmpl w:val="216C6D2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56F70C3D"/>
    <w:multiLevelType w:val="multilevel"/>
    <w:tmpl w:val="7A4AD474"/>
    <w:lvl w:ilvl="0">
      <w:start w:val="1"/>
      <w:numFmt w:val="decimal"/>
      <w:lvlText w:val="%1."/>
      <w:lvlJc w:val="left"/>
      <w:pPr>
        <w:ind w:left="360" w:hanging="360"/>
      </w:pPr>
      <w:rPr>
        <w:color w:val="365F91" w:themeColor="accent1" w:themeShade="BF"/>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nsid w:val="56FE04A4"/>
    <w:multiLevelType w:val="hybridMultilevel"/>
    <w:tmpl w:val="EB7228B6"/>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573C5298"/>
    <w:multiLevelType w:val="hybridMultilevel"/>
    <w:tmpl w:val="17DA54BC"/>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727580"/>
    <w:multiLevelType w:val="multilevel"/>
    <w:tmpl w:val="0074992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58E7693A"/>
    <w:multiLevelType w:val="hybridMultilevel"/>
    <w:tmpl w:val="BD1C6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062D72"/>
    <w:multiLevelType w:val="hybridMultilevel"/>
    <w:tmpl w:val="4658EC8E"/>
    <w:lvl w:ilvl="0" w:tplc="0402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5D9C633E"/>
    <w:multiLevelType w:val="hybridMultilevel"/>
    <w:tmpl w:val="0924FB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nsid w:val="5E924BCD"/>
    <w:multiLevelType w:val="hybridMultilevel"/>
    <w:tmpl w:val="76564C34"/>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nsid w:val="61390A7C"/>
    <w:multiLevelType w:val="hybridMultilevel"/>
    <w:tmpl w:val="CC1E2E64"/>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D84A93"/>
    <w:multiLevelType w:val="hybridMultilevel"/>
    <w:tmpl w:val="67B2B1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6B0592"/>
    <w:multiLevelType w:val="hybridMultilevel"/>
    <w:tmpl w:val="5B06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533859"/>
    <w:multiLevelType w:val="hybridMultilevel"/>
    <w:tmpl w:val="665061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6A162E7B"/>
    <w:multiLevelType w:val="hybridMultilevel"/>
    <w:tmpl w:val="4910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2C1063"/>
    <w:multiLevelType w:val="hybridMultilevel"/>
    <w:tmpl w:val="F66C0FC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CDA487F"/>
    <w:multiLevelType w:val="hybridMultilevel"/>
    <w:tmpl w:val="CE287DE0"/>
    <w:lvl w:ilvl="0" w:tplc="A20C2BCE">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E35D40"/>
    <w:multiLevelType w:val="hybridMultilevel"/>
    <w:tmpl w:val="31B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C52D82"/>
    <w:multiLevelType w:val="hybridMultilevel"/>
    <w:tmpl w:val="75F0EB72"/>
    <w:lvl w:ilvl="0" w:tplc="04020007">
      <w:start w:val="1"/>
      <w:numFmt w:val="bullet"/>
      <w:lvlText w:val=""/>
      <w:lvlPicBulletId w:val="0"/>
      <w:lvlJc w:val="left"/>
      <w:pPr>
        <w:ind w:left="720" w:hanging="360"/>
      </w:pPr>
      <w:rPr>
        <w:rFonts w:ascii="Symbol" w:hAnsi="Symbol" w:hint="default"/>
      </w:rPr>
    </w:lvl>
    <w:lvl w:ilvl="1" w:tplc="04A22A0C">
      <w:numFmt w:val="bullet"/>
      <w:lvlText w:val="-"/>
      <w:lvlJc w:val="left"/>
      <w:pPr>
        <w:ind w:left="1965" w:hanging="885"/>
      </w:pPr>
      <w:rPr>
        <w:rFonts w:ascii="Calibri" w:eastAsia="Times New Roman" w:hAnsi="Calibri"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4">
    <w:nsid w:val="736D65AA"/>
    <w:multiLevelType w:val="hybridMultilevel"/>
    <w:tmpl w:val="665061F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nsid w:val="74E956DF"/>
    <w:multiLevelType w:val="hybridMultilevel"/>
    <w:tmpl w:val="D390D3A0"/>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BC087C"/>
    <w:multiLevelType w:val="hybridMultilevel"/>
    <w:tmpl w:val="6958F62C"/>
    <w:lvl w:ilvl="0" w:tplc="0402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nsid w:val="761E27F0"/>
    <w:multiLevelType w:val="multilevel"/>
    <w:tmpl w:val="C1A452D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
    <w:nsid w:val="780F30D8"/>
    <w:multiLevelType w:val="hybridMultilevel"/>
    <w:tmpl w:val="72746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C8729E"/>
    <w:multiLevelType w:val="hybridMultilevel"/>
    <w:tmpl w:val="C01223B6"/>
    <w:lvl w:ilvl="0" w:tplc="0402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447778"/>
    <w:multiLevelType w:val="multilevel"/>
    <w:tmpl w:val="1A2EB6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8"/>
  </w:num>
  <w:num w:numId="3">
    <w:abstractNumId w:val="4"/>
  </w:num>
  <w:num w:numId="4">
    <w:abstractNumId w:val="36"/>
  </w:num>
  <w:num w:numId="5">
    <w:abstractNumId w:val="39"/>
  </w:num>
  <w:num w:numId="6">
    <w:abstractNumId w:val="33"/>
  </w:num>
  <w:num w:numId="7">
    <w:abstractNumId w:val="49"/>
  </w:num>
  <w:num w:numId="8">
    <w:abstractNumId w:val="24"/>
  </w:num>
  <w:num w:numId="9">
    <w:abstractNumId w:val="52"/>
  </w:num>
  <w:num w:numId="10">
    <w:abstractNumId w:val="30"/>
  </w:num>
  <w:num w:numId="11">
    <w:abstractNumId w:val="38"/>
  </w:num>
  <w:num w:numId="12">
    <w:abstractNumId w:val="66"/>
  </w:num>
  <w:num w:numId="13">
    <w:abstractNumId w:val="6"/>
  </w:num>
  <w:num w:numId="14">
    <w:abstractNumId w:val="63"/>
  </w:num>
  <w:num w:numId="15">
    <w:abstractNumId w:val="48"/>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num>
  <w:num w:numId="22">
    <w:abstractNumId w:val="19"/>
  </w:num>
  <w:num w:numId="23">
    <w:abstractNumId w:val="60"/>
  </w:num>
  <w:num w:numId="24">
    <w:abstractNumId w:val="26"/>
  </w:num>
  <w:num w:numId="25">
    <w:abstractNumId w:val="58"/>
  </w:num>
  <w:num w:numId="26">
    <w:abstractNumId w:val="64"/>
  </w:num>
  <w:num w:numId="27">
    <w:abstractNumId w:val="7"/>
  </w:num>
  <w:num w:numId="28">
    <w:abstractNumId w:val="31"/>
  </w:num>
  <w:num w:numId="29">
    <w:abstractNumId w:val="44"/>
  </w:num>
  <w:num w:numId="30">
    <w:abstractNumId w:val="1"/>
  </w:num>
  <w:num w:numId="31">
    <w:abstractNumId w:val="14"/>
  </w:num>
  <w:num w:numId="32">
    <w:abstractNumId w:val="54"/>
  </w:num>
  <w:num w:numId="33">
    <w:abstractNumId w:val="0"/>
  </w:num>
  <w:num w:numId="34">
    <w:abstractNumId w:val="40"/>
  </w:num>
  <w:num w:numId="35">
    <w:abstractNumId w:val="47"/>
  </w:num>
  <w:num w:numId="36">
    <w:abstractNumId w:val="8"/>
  </w:num>
  <w:num w:numId="37">
    <w:abstractNumId w:val="53"/>
  </w:num>
  <w:num w:numId="38">
    <w:abstractNumId w:val="12"/>
  </w:num>
  <w:num w:numId="39">
    <w:abstractNumId w:val="37"/>
  </w:num>
  <w:num w:numId="40">
    <w:abstractNumId w:val="9"/>
  </w:num>
  <w:num w:numId="41">
    <w:abstractNumId w:val="50"/>
  </w:num>
  <w:num w:numId="42">
    <w:abstractNumId w:val="67"/>
  </w:num>
  <w:num w:numId="43">
    <w:abstractNumId w:val="11"/>
  </w:num>
  <w:num w:numId="44">
    <w:abstractNumId w:val="17"/>
  </w:num>
  <w:num w:numId="45">
    <w:abstractNumId w:val="42"/>
  </w:num>
  <w:num w:numId="46">
    <w:abstractNumId w:val="70"/>
  </w:num>
  <w:num w:numId="47">
    <w:abstractNumId w:val="46"/>
  </w:num>
  <w:num w:numId="48">
    <w:abstractNumId w:val="15"/>
  </w:num>
  <w:num w:numId="49">
    <w:abstractNumId w:val="29"/>
  </w:num>
  <w:num w:numId="50">
    <w:abstractNumId w:val="56"/>
  </w:num>
  <w:num w:numId="51">
    <w:abstractNumId w:val="27"/>
  </w:num>
  <w:num w:numId="52">
    <w:abstractNumId w:val="10"/>
  </w:num>
  <w:num w:numId="53">
    <w:abstractNumId w:val="21"/>
  </w:num>
  <w:num w:numId="54">
    <w:abstractNumId w:val="13"/>
  </w:num>
  <w:num w:numId="55">
    <w:abstractNumId w:val="62"/>
  </w:num>
  <w:num w:numId="56">
    <w:abstractNumId w:val="2"/>
  </w:num>
  <w:num w:numId="57">
    <w:abstractNumId w:val="59"/>
  </w:num>
  <w:num w:numId="58">
    <w:abstractNumId w:val="23"/>
  </w:num>
  <w:num w:numId="59">
    <w:abstractNumId w:val="28"/>
  </w:num>
  <w:num w:numId="60">
    <w:abstractNumId w:val="34"/>
  </w:num>
  <w:num w:numId="61">
    <w:abstractNumId w:val="22"/>
  </w:num>
  <w:num w:numId="62">
    <w:abstractNumId w:val="51"/>
  </w:num>
  <w:num w:numId="63">
    <w:abstractNumId w:val="65"/>
  </w:num>
  <w:num w:numId="64">
    <w:abstractNumId w:val="35"/>
  </w:num>
  <w:num w:numId="65">
    <w:abstractNumId w:val="43"/>
  </w:num>
  <w:num w:numId="66">
    <w:abstractNumId w:val="57"/>
  </w:num>
  <w:num w:numId="67">
    <w:abstractNumId w:val="5"/>
  </w:num>
  <w:num w:numId="68">
    <w:abstractNumId w:val="68"/>
  </w:num>
  <w:num w:numId="69">
    <w:abstractNumId w:val="32"/>
  </w:num>
  <w:num w:numId="70">
    <w:abstractNumId w:val="55"/>
  </w:num>
  <w:num w:numId="71">
    <w:abstractNumId w:val="20"/>
  </w:num>
  <w:num w:numId="72">
    <w:abstractNumId w:val="69"/>
  </w:num>
  <w:num w:numId="73">
    <w:abstractNumId w:val="61"/>
  </w:num>
  <w:num w:numId="74">
    <w:abstractNumId w:val="3"/>
  </w:num>
  <w:num w:numId="75">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hideSpellingErrors/>
  <w:hideGrammaticalErrors/>
  <w:proofState w:grammar="clean"/>
  <w:defaultTabStop w:val="720"/>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5C4"/>
    <w:rsid w:val="000005B6"/>
    <w:rsid w:val="00000C76"/>
    <w:rsid w:val="0000101B"/>
    <w:rsid w:val="0000269D"/>
    <w:rsid w:val="000029FB"/>
    <w:rsid w:val="000039CF"/>
    <w:rsid w:val="00003F71"/>
    <w:rsid w:val="00003FBF"/>
    <w:rsid w:val="0000491E"/>
    <w:rsid w:val="0000498F"/>
    <w:rsid w:val="000052A0"/>
    <w:rsid w:val="00005866"/>
    <w:rsid w:val="00005891"/>
    <w:rsid w:val="00005FD5"/>
    <w:rsid w:val="00006749"/>
    <w:rsid w:val="000068C3"/>
    <w:rsid w:val="00006DA3"/>
    <w:rsid w:val="000079B0"/>
    <w:rsid w:val="00007F6C"/>
    <w:rsid w:val="00011079"/>
    <w:rsid w:val="000114B9"/>
    <w:rsid w:val="00011EA4"/>
    <w:rsid w:val="00012F82"/>
    <w:rsid w:val="00013560"/>
    <w:rsid w:val="0001368F"/>
    <w:rsid w:val="00014A50"/>
    <w:rsid w:val="00014F02"/>
    <w:rsid w:val="0001508B"/>
    <w:rsid w:val="000159E0"/>
    <w:rsid w:val="000169C1"/>
    <w:rsid w:val="0001725D"/>
    <w:rsid w:val="000176A7"/>
    <w:rsid w:val="00017C2F"/>
    <w:rsid w:val="000220F2"/>
    <w:rsid w:val="000229C5"/>
    <w:rsid w:val="00022FCD"/>
    <w:rsid w:val="00023F44"/>
    <w:rsid w:val="00026923"/>
    <w:rsid w:val="0002753D"/>
    <w:rsid w:val="00031D29"/>
    <w:rsid w:val="0003293C"/>
    <w:rsid w:val="00032D9F"/>
    <w:rsid w:val="0003342B"/>
    <w:rsid w:val="00033478"/>
    <w:rsid w:val="000339FA"/>
    <w:rsid w:val="00034CA2"/>
    <w:rsid w:val="00034D62"/>
    <w:rsid w:val="000355E5"/>
    <w:rsid w:val="00035DF9"/>
    <w:rsid w:val="00036FE1"/>
    <w:rsid w:val="0003709E"/>
    <w:rsid w:val="00037546"/>
    <w:rsid w:val="00037BAA"/>
    <w:rsid w:val="00040224"/>
    <w:rsid w:val="00040B26"/>
    <w:rsid w:val="0004185C"/>
    <w:rsid w:val="00041B61"/>
    <w:rsid w:val="00045CF7"/>
    <w:rsid w:val="00046468"/>
    <w:rsid w:val="00046937"/>
    <w:rsid w:val="000475E1"/>
    <w:rsid w:val="00050452"/>
    <w:rsid w:val="00050929"/>
    <w:rsid w:val="00051B25"/>
    <w:rsid w:val="00053BB4"/>
    <w:rsid w:val="00053EE4"/>
    <w:rsid w:val="00054AFB"/>
    <w:rsid w:val="00055D75"/>
    <w:rsid w:val="000567EB"/>
    <w:rsid w:val="0005770E"/>
    <w:rsid w:val="0006023A"/>
    <w:rsid w:val="00061448"/>
    <w:rsid w:val="00062283"/>
    <w:rsid w:val="00062675"/>
    <w:rsid w:val="000628A9"/>
    <w:rsid w:val="00062C68"/>
    <w:rsid w:val="00062ECA"/>
    <w:rsid w:val="00062EEF"/>
    <w:rsid w:val="000640B5"/>
    <w:rsid w:val="0006442C"/>
    <w:rsid w:val="00064B48"/>
    <w:rsid w:val="00064F6D"/>
    <w:rsid w:val="000655CC"/>
    <w:rsid w:val="00066F3B"/>
    <w:rsid w:val="0006711A"/>
    <w:rsid w:val="00067DFA"/>
    <w:rsid w:val="00070764"/>
    <w:rsid w:val="00070DA1"/>
    <w:rsid w:val="000722E9"/>
    <w:rsid w:val="00073457"/>
    <w:rsid w:val="00073B7D"/>
    <w:rsid w:val="000741E0"/>
    <w:rsid w:val="000755CD"/>
    <w:rsid w:val="0007593F"/>
    <w:rsid w:val="00075A27"/>
    <w:rsid w:val="00076889"/>
    <w:rsid w:val="000769D0"/>
    <w:rsid w:val="000775A8"/>
    <w:rsid w:val="000807C4"/>
    <w:rsid w:val="00080FBA"/>
    <w:rsid w:val="000824C8"/>
    <w:rsid w:val="000829D1"/>
    <w:rsid w:val="00082A64"/>
    <w:rsid w:val="00082AD2"/>
    <w:rsid w:val="00083F21"/>
    <w:rsid w:val="000843B6"/>
    <w:rsid w:val="0008583B"/>
    <w:rsid w:val="00085D43"/>
    <w:rsid w:val="00085E08"/>
    <w:rsid w:val="00085FC0"/>
    <w:rsid w:val="000875E6"/>
    <w:rsid w:val="000877BD"/>
    <w:rsid w:val="0009016D"/>
    <w:rsid w:val="00090B21"/>
    <w:rsid w:val="00090DE4"/>
    <w:rsid w:val="00092E96"/>
    <w:rsid w:val="0009339F"/>
    <w:rsid w:val="00093E5D"/>
    <w:rsid w:val="00094180"/>
    <w:rsid w:val="00095278"/>
    <w:rsid w:val="000954F9"/>
    <w:rsid w:val="0009602C"/>
    <w:rsid w:val="00096827"/>
    <w:rsid w:val="00096FD5"/>
    <w:rsid w:val="000A0779"/>
    <w:rsid w:val="000A1D18"/>
    <w:rsid w:val="000A2412"/>
    <w:rsid w:val="000A25CD"/>
    <w:rsid w:val="000A262E"/>
    <w:rsid w:val="000A353E"/>
    <w:rsid w:val="000A3B0D"/>
    <w:rsid w:val="000A3C24"/>
    <w:rsid w:val="000A56B9"/>
    <w:rsid w:val="000A57B7"/>
    <w:rsid w:val="000A5D9D"/>
    <w:rsid w:val="000A6218"/>
    <w:rsid w:val="000A6A6E"/>
    <w:rsid w:val="000A7AC9"/>
    <w:rsid w:val="000B0329"/>
    <w:rsid w:val="000B037B"/>
    <w:rsid w:val="000B0D7B"/>
    <w:rsid w:val="000B0F8D"/>
    <w:rsid w:val="000B11AD"/>
    <w:rsid w:val="000B1975"/>
    <w:rsid w:val="000B1B68"/>
    <w:rsid w:val="000B1DF3"/>
    <w:rsid w:val="000B340F"/>
    <w:rsid w:val="000B3782"/>
    <w:rsid w:val="000B3B3D"/>
    <w:rsid w:val="000B3E09"/>
    <w:rsid w:val="000B4B9B"/>
    <w:rsid w:val="000B4DBE"/>
    <w:rsid w:val="000B5F21"/>
    <w:rsid w:val="000B64ED"/>
    <w:rsid w:val="000C077A"/>
    <w:rsid w:val="000C0D1C"/>
    <w:rsid w:val="000C1939"/>
    <w:rsid w:val="000C1DA1"/>
    <w:rsid w:val="000C3B4B"/>
    <w:rsid w:val="000C4608"/>
    <w:rsid w:val="000C646E"/>
    <w:rsid w:val="000C68BF"/>
    <w:rsid w:val="000C7820"/>
    <w:rsid w:val="000C7C24"/>
    <w:rsid w:val="000C7E57"/>
    <w:rsid w:val="000D061C"/>
    <w:rsid w:val="000D0D11"/>
    <w:rsid w:val="000D0DC2"/>
    <w:rsid w:val="000D2264"/>
    <w:rsid w:val="000D4016"/>
    <w:rsid w:val="000D4839"/>
    <w:rsid w:val="000D4F47"/>
    <w:rsid w:val="000D511C"/>
    <w:rsid w:val="000D59B4"/>
    <w:rsid w:val="000D623F"/>
    <w:rsid w:val="000D6F6A"/>
    <w:rsid w:val="000D6FD1"/>
    <w:rsid w:val="000D7058"/>
    <w:rsid w:val="000D7DBA"/>
    <w:rsid w:val="000E3528"/>
    <w:rsid w:val="000E3749"/>
    <w:rsid w:val="000E5580"/>
    <w:rsid w:val="000E6015"/>
    <w:rsid w:val="000E7160"/>
    <w:rsid w:val="000E720C"/>
    <w:rsid w:val="000F07CF"/>
    <w:rsid w:val="000F0FBD"/>
    <w:rsid w:val="000F145B"/>
    <w:rsid w:val="000F1C62"/>
    <w:rsid w:val="000F2697"/>
    <w:rsid w:val="000F2FDD"/>
    <w:rsid w:val="000F3CC9"/>
    <w:rsid w:val="000F3CCA"/>
    <w:rsid w:val="000F5747"/>
    <w:rsid w:val="000F6620"/>
    <w:rsid w:val="000F664B"/>
    <w:rsid w:val="000F6851"/>
    <w:rsid w:val="000F6A2C"/>
    <w:rsid w:val="000F77AB"/>
    <w:rsid w:val="001000DA"/>
    <w:rsid w:val="0010034E"/>
    <w:rsid w:val="00101E87"/>
    <w:rsid w:val="001025BE"/>
    <w:rsid w:val="00103670"/>
    <w:rsid w:val="00103D24"/>
    <w:rsid w:val="001056B3"/>
    <w:rsid w:val="001057D9"/>
    <w:rsid w:val="00106851"/>
    <w:rsid w:val="00106D11"/>
    <w:rsid w:val="001071D4"/>
    <w:rsid w:val="0010799F"/>
    <w:rsid w:val="00111EC2"/>
    <w:rsid w:val="00112D1B"/>
    <w:rsid w:val="00113F2E"/>
    <w:rsid w:val="00114857"/>
    <w:rsid w:val="001149A5"/>
    <w:rsid w:val="00115537"/>
    <w:rsid w:val="00116695"/>
    <w:rsid w:val="00121F61"/>
    <w:rsid w:val="00123036"/>
    <w:rsid w:val="00123A5E"/>
    <w:rsid w:val="00124971"/>
    <w:rsid w:val="00124CFA"/>
    <w:rsid w:val="00125062"/>
    <w:rsid w:val="0012635C"/>
    <w:rsid w:val="0012697D"/>
    <w:rsid w:val="00126C4C"/>
    <w:rsid w:val="00127061"/>
    <w:rsid w:val="0012788B"/>
    <w:rsid w:val="00127B7F"/>
    <w:rsid w:val="0013015B"/>
    <w:rsid w:val="0013069E"/>
    <w:rsid w:val="00130BCF"/>
    <w:rsid w:val="0013126F"/>
    <w:rsid w:val="001320E0"/>
    <w:rsid w:val="001324FB"/>
    <w:rsid w:val="001329CA"/>
    <w:rsid w:val="00132FD9"/>
    <w:rsid w:val="001337F3"/>
    <w:rsid w:val="00133954"/>
    <w:rsid w:val="00133D4C"/>
    <w:rsid w:val="00133EAD"/>
    <w:rsid w:val="00135234"/>
    <w:rsid w:val="0013546B"/>
    <w:rsid w:val="00135D02"/>
    <w:rsid w:val="00136A92"/>
    <w:rsid w:val="00136B15"/>
    <w:rsid w:val="001376E4"/>
    <w:rsid w:val="00137CCE"/>
    <w:rsid w:val="0014106E"/>
    <w:rsid w:val="00142CF7"/>
    <w:rsid w:val="001434FE"/>
    <w:rsid w:val="00143C7B"/>
    <w:rsid w:val="00145438"/>
    <w:rsid w:val="00145F36"/>
    <w:rsid w:val="0014735E"/>
    <w:rsid w:val="001475BF"/>
    <w:rsid w:val="00147890"/>
    <w:rsid w:val="00150665"/>
    <w:rsid w:val="0015068A"/>
    <w:rsid w:val="00150A02"/>
    <w:rsid w:val="00150B0E"/>
    <w:rsid w:val="00150E15"/>
    <w:rsid w:val="00151576"/>
    <w:rsid w:val="00151637"/>
    <w:rsid w:val="00153740"/>
    <w:rsid w:val="001537D2"/>
    <w:rsid w:val="00153D14"/>
    <w:rsid w:val="00154046"/>
    <w:rsid w:val="0015451C"/>
    <w:rsid w:val="00154630"/>
    <w:rsid w:val="00154758"/>
    <w:rsid w:val="001551E4"/>
    <w:rsid w:val="0015597B"/>
    <w:rsid w:val="001559CA"/>
    <w:rsid w:val="00155FA9"/>
    <w:rsid w:val="00155FD9"/>
    <w:rsid w:val="00157E30"/>
    <w:rsid w:val="00160159"/>
    <w:rsid w:val="00161492"/>
    <w:rsid w:val="00161E36"/>
    <w:rsid w:val="00162021"/>
    <w:rsid w:val="00162F9C"/>
    <w:rsid w:val="00163BE6"/>
    <w:rsid w:val="00163C85"/>
    <w:rsid w:val="00164253"/>
    <w:rsid w:val="00164286"/>
    <w:rsid w:val="00166134"/>
    <w:rsid w:val="00166ECE"/>
    <w:rsid w:val="00166F93"/>
    <w:rsid w:val="00167D69"/>
    <w:rsid w:val="001716B8"/>
    <w:rsid w:val="00172100"/>
    <w:rsid w:val="00172372"/>
    <w:rsid w:val="00172722"/>
    <w:rsid w:val="00172AF9"/>
    <w:rsid w:val="00172B34"/>
    <w:rsid w:val="00173C1E"/>
    <w:rsid w:val="00173E4C"/>
    <w:rsid w:val="0017400B"/>
    <w:rsid w:val="00175A95"/>
    <w:rsid w:val="00175B2C"/>
    <w:rsid w:val="00176149"/>
    <w:rsid w:val="001762F1"/>
    <w:rsid w:val="00176751"/>
    <w:rsid w:val="00177055"/>
    <w:rsid w:val="001772AF"/>
    <w:rsid w:val="001773AE"/>
    <w:rsid w:val="00180DB4"/>
    <w:rsid w:val="001816E7"/>
    <w:rsid w:val="00181CA1"/>
    <w:rsid w:val="00181E8B"/>
    <w:rsid w:val="001824FE"/>
    <w:rsid w:val="00182B2B"/>
    <w:rsid w:val="001836DA"/>
    <w:rsid w:val="00183BAD"/>
    <w:rsid w:val="0018411E"/>
    <w:rsid w:val="0018416C"/>
    <w:rsid w:val="00185221"/>
    <w:rsid w:val="001854E8"/>
    <w:rsid w:val="0018559C"/>
    <w:rsid w:val="00187F89"/>
    <w:rsid w:val="001904A9"/>
    <w:rsid w:val="001908AD"/>
    <w:rsid w:val="00190ACB"/>
    <w:rsid w:val="00190E99"/>
    <w:rsid w:val="001917EC"/>
    <w:rsid w:val="00192B6C"/>
    <w:rsid w:val="00192E31"/>
    <w:rsid w:val="0019362A"/>
    <w:rsid w:val="00193B61"/>
    <w:rsid w:val="001942D3"/>
    <w:rsid w:val="0019686E"/>
    <w:rsid w:val="00196DA5"/>
    <w:rsid w:val="00196F2F"/>
    <w:rsid w:val="00197584"/>
    <w:rsid w:val="00197C0B"/>
    <w:rsid w:val="00197C3B"/>
    <w:rsid w:val="001A015F"/>
    <w:rsid w:val="001A0E11"/>
    <w:rsid w:val="001A1C6B"/>
    <w:rsid w:val="001A27D8"/>
    <w:rsid w:val="001A2A03"/>
    <w:rsid w:val="001A2DE7"/>
    <w:rsid w:val="001A2F07"/>
    <w:rsid w:val="001A3876"/>
    <w:rsid w:val="001A39DE"/>
    <w:rsid w:val="001A45E9"/>
    <w:rsid w:val="001A4781"/>
    <w:rsid w:val="001A47EA"/>
    <w:rsid w:val="001A4B1B"/>
    <w:rsid w:val="001A5317"/>
    <w:rsid w:val="001A609B"/>
    <w:rsid w:val="001A6361"/>
    <w:rsid w:val="001A7139"/>
    <w:rsid w:val="001A7730"/>
    <w:rsid w:val="001B02B5"/>
    <w:rsid w:val="001B0A3C"/>
    <w:rsid w:val="001B0AD6"/>
    <w:rsid w:val="001B0E54"/>
    <w:rsid w:val="001B1242"/>
    <w:rsid w:val="001B2EED"/>
    <w:rsid w:val="001B413B"/>
    <w:rsid w:val="001B4F3C"/>
    <w:rsid w:val="001B5A5A"/>
    <w:rsid w:val="001B5AD4"/>
    <w:rsid w:val="001B5E96"/>
    <w:rsid w:val="001B6680"/>
    <w:rsid w:val="001B6BC3"/>
    <w:rsid w:val="001B709D"/>
    <w:rsid w:val="001B730C"/>
    <w:rsid w:val="001C1D0B"/>
    <w:rsid w:val="001C2834"/>
    <w:rsid w:val="001C3CE9"/>
    <w:rsid w:val="001C483C"/>
    <w:rsid w:val="001C4A7D"/>
    <w:rsid w:val="001C4ADD"/>
    <w:rsid w:val="001C5827"/>
    <w:rsid w:val="001C5930"/>
    <w:rsid w:val="001C5D7F"/>
    <w:rsid w:val="001C62EB"/>
    <w:rsid w:val="001C637E"/>
    <w:rsid w:val="001C6472"/>
    <w:rsid w:val="001C6D81"/>
    <w:rsid w:val="001C70F4"/>
    <w:rsid w:val="001C7490"/>
    <w:rsid w:val="001C7659"/>
    <w:rsid w:val="001D02B7"/>
    <w:rsid w:val="001D0FD2"/>
    <w:rsid w:val="001D1289"/>
    <w:rsid w:val="001D1880"/>
    <w:rsid w:val="001D21EA"/>
    <w:rsid w:val="001D2DE2"/>
    <w:rsid w:val="001D37B1"/>
    <w:rsid w:val="001D4788"/>
    <w:rsid w:val="001D47F8"/>
    <w:rsid w:val="001D5FB5"/>
    <w:rsid w:val="001D63FC"/>
    <w:rsid w:val="001D65EE"/>
    <w:rsid w:val="001D69B2"/>
    <w:rsid w:val="001D69EB"/>
    <w:rsid w:val="001D6E15"/>
    <w:rsid w:val="001D79F3"/>
    <w:rsid w:val="001E0820"/>
    <w:rsid w:val="001E0C79"/>
    <w:rsid w:val="001E0DFA"/>
    <w:rsid w:val="001E1C69"/>
    <w:rsid w:val="001E3064"/>
    <w:rsid w:val="001E35E4"/>
    <w:rsid w:val="001E35F5"/>
    <w:rsid w:val="001E52A1"/>
    <w:rsid w:val="001E5744"/>
    <w:rsid w:val="001E6286"/>
    <w:rsid w:val="001E6373"/>
    <w:rsid w:val="001E6710"/>
    <w:rsid w:val="001E6895"/>
    <w:rsid w:val="001E73F2"/>
    <w:rsid w:val="001E7EB5"/>
    <w:rsid w:val="001F06A5"/>
    <w:rsid w:val="001F097F"/>
    <w:rsid w:val="001F102F"/>
    <w:rsid w:val="001F4FAE"/>
    <w:rsid w:val="001F528D"/>
    <w:rsid w:val="001F541A"/>
    <w:rsid w:val="001F5EDE"/>
    <w:rsid w:val="001F69B7"/>
    <w:rsid w:val="001F7A57"/>
    <w:rsid w:val="001F7C49"/>
    <w:rsid w:val="0020117C"/>
    <w:rsid w:val="00201BA4"/>
    <w:rsid w:val="00201BC4"/>
    <w:rsid w:val="002024D7"/>
    <w:rsid w:val="002025D5"/>
    <w:rsid w:val="00202DBB"/>
    <w:rsid w:val="002032B6"/>
    <w:rsid w:val="00203A97"/>
    <w:rsid w:val="00203ED8"/>
    <w:rsid w:val="00205023"/>
    <w:rsid w:val="00205AC4"/>
    <w:rsid w:val="002064CB"/>
    <w:rsid w:val="0020695F"/>
    <w:rsid w:val="0020750C"/>
    <w:rsid w:val="002079AC"/>
    <w:rsid w:val="00207D80"/>
    <w:rsid w:val="00210ACF"/>
    <w:rsid w:val="00211832"/>
    <w:rsid w:val="002125FA"/>
    <w:rsid w:val="002127EA"/>
    <w:rsid w:val="00213BDD"/>
    <w:rsid w:val="0021503D"/>
    <w:rsid w:val="00215F99"/>
    <w:rsid w:val="002169CA"/>
    <w:rsid w:val="00216D2C"/>
    <w:rsid w:val="00216E1E"/>
    <w:rsid w:val="00217239"/>
    <w:rsid w:val="00217415"/>
    <w:rsid w:val="00217E61"/>
    <w:rsid w:val="00220664"/>
    <w:rsid w:val="00221276"/>
    <w:rsid w:val="00222494"/>
    <w:rsid w:val="0022268B"/>
    <w:rsid w:val="0022274A"/>
    <w:rsid w:val="002230D0"/>
    <w:rsid w:val="002232F6"/>
    <w:rsid w:val="0022504C"/>
    <w:rsid w:val="00226B0C"/>
    <w:rsid w:val="002279B5"/>
    <w:rsid w:val="00227B61"/>
    <w:rsid w:val="0023017C"/>
    <w:rsid w:val="00230823"/>
    <w:rsid w:val="002312D9"/>
    <w:rsid w:val="002329A4"/>
    <w:rsid w:val="0023311F"/>
    <w:rsid w:val="002331F9"/>
    <w:rsid w:val="00233749"/>
    <w:rsid w:val="00234244"/>
    <w:rsid w:val="00234291"/>
    <w:rsid w:val="00234DA9"/>
    <w:rsid w:val="00235373"/>
    <w:rsid w:val="00235F41"/>
    <w:rsid w:val="00236EEB"/>
    <w:rsid w:val="002377A1"/>
    <w:rsid w:val="00237D28"/>
    <w:rsid w:val="00237EA2"/>
    <w:rsid w:val="002401DE"/>
    <w:rsid w:val="002407D5"/>
    <w:rsid w:val="00240DF6"/>
    <w:rsid w:val="00243360"/>
    <w:rsid w:val="00243FE4"/>
    <w:rsid w:val="002446AE"/>
    <w:rsid w:val="00244F03"/>
    <w:rsid w:val="00245F4E"/>
    <w:rsid w:val="00246704"/>
    <w:rsid w:val="00246DD2"/>
    <w:rsid w:val="00246E2B"/>
    <w:rsid w:val="00246F4B"/>
    <w:rsid w:val="00247640"/>
    <w:rsid w:val="00247E43"/>
    <w:rsid w:val="00247F6F"/>
    <w:rsid w:val="0025041F"/>
    <w:rsid w:val="00250A7C"/>
    <w:rsid w:val="00251424"/>
    <w:rsid w:val="00251939"/>
    <w:rsid w:val="00251A6D"/>
    <w:rsid w:val="00251EC2"/>
    <w:rsid w:val="00255A3C"/>
    <w:rsid w:val="00256698"/>
    <w:rsid w:val="00260965"/>
    <w:rsid w:val="00262277"/>
    <w:rsid w:val="002630C4"/>
    <w:rsid w:val="002634C8"/>
    <w:rsid w:val="00263C2D"/>
    <w:rsid w:val="00263CFF"/>
    <w:rsid w:val="002645EC"/>
    <w:rsid w:val="00264900"/>
    <w:rsid w:val="002649EE"/>
    <w:rsid w:val="00264FAB"/>
    <w:rsid w:val="00264FD9"/>
    <w:rsid w:val="002657DA"/>
    <w:rsid w:val="00265E5E"/>
    <w:rsid w:val="00265E7D"/>
    <w:rsid w:val="00266C76"/>
    <w:rsid w:val="00266D58"/>
    <w:rsid w:val="0026786C"/>
    <w:rsid w:val="00267E01"/>
    <w:rsid w:val="00267F9B"/>
    <w:rsid w:val="00270158"/>
    <w:rsid w:val="00270F55"/>
    <w:rsid w:val="002719B1"/>
    <w:rsid w:val="00272C74"/>
    <w:rsid w:val="0027348E"/>
    <w:rsid w:val="00273798"/>
    <w:rsid w:val="00274267"/>
    <w:rsid w:val="00274269"/>
    <w:rsid w:val="00274797"/>
    <w:rsid w:val="00274B94"/>
    <w:rsid w:val="00275340"/>
    <w:rsid w:val="002760C5"/>
    <w:rsid w:val="00276CE5"/>
    <w:rsid w:val="00276E5A"/>
    <w:rsid w:val="00277AF2"/>
    <w:rsid w:val="002800C3"/>
    <w:rsid w:val="00280958"/>
    <w:rsid w:val="0028151C"/>
    <w:rsid w:val="00282B6F"/>
    <w:rsid w:val="00282D91"/>
    <w:rsid w:val="00284071"/>
    <w:rsid w:val="00284534"/>
    <w:rsid w:val="0028475E"/>
    <w:rsid w:val="00284A69"/>
    <w:rsid w:val="0028545B"/>
    <w:rsid w:val="00285533"/>
    <w:rsid w:val="0028566D"/>
    <w:rsid w:val="00285C4E"/>
    <w:rsid w:val="00286F21"/>
    <w:rsid w:val="002902B2"/>
    <w:rsid w:val="00291679"/>
    <w:rsid w:val="002926C2"/>
    <w:rsid w:val="002932D1"/>
    <w:rsid w:val="00293AE6"/>
    <w:rsid w:val="0029411B"/>
    <w:rsid w:val="002942DD"/>
    <w:rsid w:val="00294BBA"/>
    <w:rsid w:val="00295FF4"/>
    <w:rsid w:val="002960FC"/>
    <w:rsid w:val="002973E5"/>
    <w:rsid w:val="00297D21"/>
    <w:rsid w:val="00297D4F"/>
    <w:rsid w:val="00297DF3"/>
    <w:rsid w:val="002A0869"/>
    <w:rsid w:val="002A0C77"/>
    <w:rsid w:val="002A11FF"/>
    <w:rsid w:val="002A15CB"/>
    <w:rsid w:val="002A1C33"/>
    <w:rsid w:val="002A267F"/>
    <w:rsid w:val="002A289F"/>
    <w:rsid w:val="002A37AC"/>
    <w:rsid w:val="002A4396"/>
    <w:rsid w:val="002A46F5"/>
    <w:rsid w:val="002A46F6"/>
    <w:rsid w:val="002A4985"/>
    <w:rsid w:val="002A4C37"/>
    <w:rsid w:val="002A5821"/>
    <w:rsid w:val="002A704D"/>
    <w:rsid w:val="002A7324"/>
    <w:rsid w:val="002A7BAB"/>
    <w:rsid w:val="002B0157"/>
    <w:rsid w:val="002B0FA9"/>
    <w:rsid w:val="002B1579"/>
    <w:rsid w:val="002B1D79"/>
    <w:rsid w:val="002B21AD"/>
    <w:rsid w:val="002B2243"/>
    <w:rsid w:val="002B3A7A"/>
    <w:rsid w:val="002B41FC"/>
    <w:rsid w:val="002B49BA"/>
    <w:rsid w:val="002B5208"/>
    <w:rsid w:val="002B5514"/>
    <w:rsid w:val="002B5C38"/>
    <w:rsid w:val="002B5D06"/>
    <w:rsid w:val="002B641E"/>
    <w:rsid w:val="002B650A"/>
    <w:rsid w:val="002B6F8B"/>
    <w:rsid w:val="002B7F19"/>
    <w:rsid w:val="002C27F7"/>
    <w:rsid w:val="002C2EB7"/>
    <w:rsid w:val="002C37F6"/>
    <w:rsid w:val="002C3A13"/>
    <w:rsid w:val="002C4E18"/>
    <w:rsid w:val="002C5596"/>
    <w:rsid w:val="002C64F1"/>
    <w:rsid w:val="002C6527"/>
    <w:rsid w:val="002D0488"/>
    <w:rsid w:val="002D06D4"/>
    <w:rsid w:val="002D19F6"/>
    <w:rsid w:val="002D1FD5"/>
    <w:rsid w:val="002D2B0B"/>
    <w:rsid w:val="002D3141"/>
    <w:rsid w:val="002D3633"/>
    <w:rsid w:val="002D47AF"/>
    <w:rsid w:val="002D491D"/>
    <w:rsid w:val="002D5285"/>
    <w:rsid w:val="002D54C7"/>
    <w:rsid w:val="002D5BD9"/>
    <w:rsid w:val="002D6032"/>
    <w:rsid w:val="002D62BC"/>
    <w:rsid w:val="002D704D"/>
    <w:rsid w:val="002D79C0"/>
    <w:rsid w:val="002E0AA3"/>
    <w:rsid w:val="002E0BD2"/>
    <w:rsid w:val="002E1323"/>
    <w:rsid w:val="002E17FB"/>
    <w:rsid w:val="002E1F44"/>
    <w:rsid w:val="002E2373"/>
    <w:rsid w:val="002E3BC0"/>
    <w:rsid w:val="002E3F65"/>
    <w:rsid w:val="002E49CA"/>
    <w:rsid w:val="002E573D"/>
    <w:rsid w:val="002E6905"/>
    <w:rsid w:val="002E7172"/>
    <w:rsid w:val="002F09CB"/>
    <w:rsid w:val="002F0B2D"/>
    <w:rsid w:val="002F1608"/>
    <w:rsid w:val="002F2B48"/>
    <w:rsid w:val="002F2F99"/>
    <w:rsid w:val="002F3E10"/>
    <w:rsid w:val="002F43F3"/>
    <w:rsid w:val="002F557B"/>
    <w:rsid w:val="002F56B2"/>
    <w:rsid w:val="002F57DA"/>
    <w:rsid w:val="002F7852"/>
    <w:rsid w:val="003000AF"/>
    <w:rsid w:val="00300699"/>
    <w:rsid w:val="003008FA"/>
    <w:rsid w:val="00300B4E"/>
    <w:rsid w:val="00301781"/>
    <w:rsid w:val="003019C4"/>
    <w:rsid w:val="003032CA"/>
    <w:rsid w:val="003042A6"/>
    <w:rsid w:val="00304306"/>
    <w:rsid w:val="00304308"/>
    <w:rsid w:val="003043A0"/>
    <w:rsid w:val="00305200"/>
    <w:rsid w:val="0030525F"/>
    <w:rsid w:val="0030535A"/>
    <w:rsid w:val="00305F4C"/>
    <w:rsid w:val="003061B1"/>
    <w:rsid w:val="00306C4C"/>
    <w:rsid w:val="00307956"/>
    <w:rsid w:val="00310089"/>
    <w:rsid w:val="0031157A"/>
    <w:rsid w:val="00312A22"/>
    <w:rsid w:val="003139EF"/>
    <w:rsid w:val="00313D6C"/>
    <w:rsid w:val="0031406B"/>
    <w:rsid w:val="00314283"/>
    <w:rsid w:val="0031510D"/>
    <w:rsid w:val="003151A8"/>
    <w:rsid w:val="00315D7A"/>
    <w:rsid w:val="00316100"/>
    <w:rsid w:val="00316333"/>
    <w:rsid w:val="003205C5"/>
    <w:rsid w:val="00320677"/>
    <w:rsid w:val="00320B4A"/>
    <w:rsid w:val="0032144E"/>
    <w:rsid w:val="003219DA"/>
    <w:rsid w:val="00321CAD"/>
    <w:rsid w:val="00322BD0"/>
    <w:rsid w:val="003234DD"/>
    <w:rsid w:val="00323529"/>
    <w:rsid w:val="00323550"/>
    <w:rsid w:val="00323562"/>
    <w:rsid w:val="00323A6A"/>
    <w:rsid w:val="00324293"/>
    <w:rsid w:val="00324324"/>
    <w:rsid w:val="00324B99"/>
    <w:rsid w:val="00324F48"/>
    <w:rsid w:val="00325B4B"/>
    <w:rsid w:val="003264B9"/>
    <w:rsid w:val="00326F93"/>
    <w:rsid w:val="003270B4"/>
    <w:rsid w:val="003276EF"/>
    <w:rsid w:val="00331D8E"/>
    <w:rsid w:val="00332E7E"/>
    <w:rsid w:val="00333881"/>
    <w:rsid w:val="003348EB"/>
    <w:rsid w:val="00334EB1"/>
    <w:rsid w:val="0033524F"/>
    <w:rsid w:val="003358C5"/>
    <w:rsid w:val="00335E38"/>
    <w:rsid w:val="003362F4"/>
    <w:rsid w:val="00336419"/>
    <w:rsid w:val="00336DBF"/>
    <w:rsid w:val="00336DF7"/>
    <w:rsid w:val="00337198"/>
    <w:rsid w:val="0034029C"/>
    <w:rsid w:val="00340932"/>
    <w:rsid w:val="00342D15"/>
    <w:rsid w:val="003433B1"/>
    <w:rsid w:val="003438A1"/>
    <w:rsid w:val="00344794"/>
    <w:rsid w:val="00344D36"/>
    <w:rsid w:val="00345683"/>
    <w:rsid w:val="003467F1"/>
    <w:rsid w:val="00346C82"/>
    <w:rsid w:val="00350110"/>
    <w:rsid w:val="003527E1"/>
    <w:rsid w:val="0035288C"/>
    <w:rsid w:val="00352ED2"/>
    <w:rsid w:val="00353AA9"/>
    <w:rsid w:val="0035482C"/>
    <w:rsid w:val="003553F0"/>
    <w:rsid w:val="00355A23"/>
    <w:rsid w:val="00355DDA"/>
    <w:rsid w:val="003563C3"/>
    <w:rsid w:val="003571D9"/>
    <w:rsid w:val="00360080"/>
    <w:rsid w:val="00360268"/>
    <w:rsid w:val="003603C9"/>
    <w:rsid w:val="0036075C"/>
    <w:rsid w:val="00361EB5"/>
    <w:rsid w:val="00362934"/>
    <w:rsid w:val="00362A72"/>
    <w:rsid w:val="0036311C"/>
    <w:rsid w:val="003636E7"/>
    <w:rsid w:val="0036449D"/>
    <w:rsid w:val="003647B5"/>
    <w:rsid w:val="003651F3"/>
    <w:rsid w:val="003655F0"/>
    <w:rsid w:val="00365AF1"/>
    <w:rsid w:val="0037199C"/>
    <w:rsid w:val="00372308"/>
    <w:rsid w:val="0037250E"/>
    <w:rsid w:val="00372960"/>
    <w:rsid w:val="00374071"/>
    <w:rsid w:val="00374680"/>
    <w:rsid w:val="0037538A"/>
    <w:rsid w:val="00376804"/>
    <w:rsid w:val="00377530"/>
    <w:rsid w:val="00381809"/>
    <w:rsid w:val="003818B3"/>
    <w:rsid w:val="00381EB0"/>
    <w:rsid w:val="0038237A"/>
    <w:rsid w:val="00382BFA"/>
    <w:rsid w:val="00383A36"/>
    <w:rsid w:val="00383BC9"/>
    <w:rsid w:val="00385243"/>
    <w:rsid w:val="00385377"/>
    <w:rsid w:val="00385A56"/>
    <w:rsid w:val="00385A5C"/>
    <w:rsid w:val="00387821"/>
    <w:rsid w:val="00387EA2"/>
    <w:rsid w:val="003905BE"/>
    <w:rsid w:val="0039068B"/>
    <w:rsid w:val="0039099C"/>
    <w:rsid w:val="00391474"/>
    <w:rsid w:val="00391500"/>
    <w:rsid w:val="0039158D"/>
    <w:rsid w:val="0039298B"/>
    <w:rsid w:val="0039345B"/>
    <w:rsid w:val="00393B6D"/>
    <w:rsid w:val="003941BC"/>
    <w:rsid w:val="0039447D"/>
    <w:rsid w:val="00394DE7"/>
    <w:rsid w:val="00395080"/>
    <w:rsid w:val="00396560"/>
    <w:rsid w:val="003A0B8B"/>
    <w:rsid w:val="003A11B0"/>
    <w:rsid w:val="003A1918"/>
    <w:rsid w:val="003A2557"/>
    <w:rsid w:val="003A2648"/>
    <w:rsid w:val="003A269F"/>
    <w:rsid w:val="003A27F1"/>
    <w:rsid w:val="003A3160"/>
    <w:rsid w:val="003A3418"/>
    <w:rsid w:val="003A3993"/>
    <w:rsid w:val="003A4D4B"/>
    <w:rsid w:val="003A55E0"/>
    <w:rsid w:val="003A5835"/>
    <w:rsid w:val="003A7DED"/>
    <w:rsid w:val="003B0684"/>
    <w:rsid w:val="003B0CB4"/>
    <w:rsid w:val="003B1190"/>
    <w:rsid w:val="003B197C"/>
    <w:rsid w:val="003B2B3F"/>
    <w:rsid w:val="003B3A09"/>
    <w:rsid w:val="003B3FA5"/>
    <w:rsid w:val="003B421A"/>
    <w:rsid w:val="003B46FF"/>
    <w:rsid w:val="003B5218"/>
    <w:rsid w:val="003B5451"/>
    <w:rsid w:val="003B5866"/>
    <w:rsid w:val="003B5E69"/>
    <w:rsid w:val="003B609A"/>
    <w:rsid w:val="003B65AC"/>
    <w:rsid w:val="003B668B"/>
    <w:rsid w:val="003B7C8A"/>
    <w:rsid w:val="003C1162"/>
    <w:rsid w:val="003C16D6"/>
    <w:rsid w:val="003C1A79"/>
    <w:rsid w:val="003C2460"/>
    <w:rsid w:val="003C4581"/>
    <w:rsid w:val="003C5268"/>
    <w:rsid w:val="003C5DD0"/>
    <w:rsid w:val="003C6383"/>
    <w:rsid w:val="003C655F"/>
    <w:rsid w:val="003C6C11"/>
    <w:rsid w:val="003D00F6"/>
    <w:rsid w:val="003D046A"/>
    <w:rsid w:val="003D05A0"/>
    <w:rsid w:val="003D0A27"/>
    <w:rsid w:val="003D2524"/>
    <w:rsid w:val="003D36C5"/>
    <w:rsid w:val="003D3B6F"/>
    <w:rsid w:val="003D44B2"/>
    <w:rsid w:val="003D54BE"/>
    <w:rsid w:val="003D5891"/>
    <w:rsid w:val="003D6097"/>
    <w:rsid w:val="003E0D58"/>
    <w:rsid w:val="003E16AD"/>
    <w:rsid w:val="003E25D8"/>
    <w:rsid w:val="003E3040"/>
    <w:rsid w:val="003E3097"/>
    <w:rsid w:val="003E3135"/>
    <w:rsid w:val="003E3595"/>
    <w:rsid w:val="003E3F2B"/>
    <w:rsid w:val="003E4BDF"/>
    <w:rsid w:val="003E4EAE"/>
    <w:rsid w:val="003E5ADE"/>
    <w:rsid w:val="003E6A27"/>
    <w:rsid w:val="003E6E7A"/>
    <w:rsid w:val="003E731C"/>
    <w:rsid w:val="003E74E5"/>
    <w:rsid w:val="003F023E"/>
    <w:rsid w:val="003F060D"/>
    <w:rsid w:val="003F1E71"/>
    <w:rsid w:val="003F26CF"/>
    <w:rsid w:val="003F276F"/>
    <w:rsid w:val="003F2D2B"/>
    <w:rsid w:val="003F3502"/>
    <w:rsid w:val="003F388F"/>
    <w:rsid w:val="003F3C2D"/>
    <w:rsid w:val="003F490B"/>
    <w:rsid w:val="003F4B3A"/>
    <w:rsid w:val="003F563B"/>
    <w:rsid w:val="003F5EAC"/>
    <w:rsid w:val="003F60CB"/>
    <w:rsid w:val="003F7A50"/>
    <w:rsid w:val="003F7BED"/>
    <w:rsid w:val="00400D0E"/>
    <w:rsid w:val="0040174F"/>
    <w:rsid w:val="00401817"/>
    <w:rsid w:val="004030BC"/>
    <w:rsid w:val="004035B0"/>
    <w:rsid w:val="004057B2"/>
    <w:rsid w:val="00405BD9"/>
    <w:rsid w:val="00410FAE"/>
    <w:rsid w:val="004116B6"/>
    <w:rsid w:val="00411BD1"/>
    <w:rsid w:val="00411C2C"/>
    <w:rsid w:val="00412873"/>
    <w:rsid w:val="00412DD8"/>
    <w:rsid w:val="00413370"/>
    <w:rsid w:val="00414366"/>
    <w:rsid w:val="004145BA"/>
    <w:rsid w:val="0041472C"/>
    <w:rsid w:val="004149D2"/>
    <w:rsid w:val="00414E91"/>
    <w:rsid w:val="00415AFA"/>
    <w:rsid w:val="00416833"/>
    <w:rsid w:val="00416A16"/>
    <w:rsid w:val="00417ACA"/>
    <w:rsid w:val="0042029C"/>
    <w:rsid w:val="00422E5F"/>
    <w:rsid w:val="00423364"/>
    <w:rsid w:val="00423904"/>
    <w:rsid w:val="00423C37"/>
    <w:rsid w:val="004251FF"/>
    <w:rsid w:val="00425248"/>
    <w:rsid w:val="004259F6"/>
    <w:rsid w:val="00425B4D"/>
    <w:rsid w:val="0042633D"/>
    <w:rsid w:val="0042688F"/>
    <w:rsid w:val="004271F1"/>
    <w:rsid w:val="0043017E"/>
    <w:rsid w:val="00430C1A"/>
    <w:rsid w:val="00430E2D"/>
    <w:rsid w:val="0043110F"/>
    <w:rsid w:val="00431CFA"/>
    <w:rsid w:val="004323FE"/>
    <w:rsid w:val="0043246A"/>
    <w:rsid w:val="004325F4"/>
    <w:rsid w:val="00432F4B"/>
    <w:rsid w:val="00433D9C"/>
    <w:rsid w:val="00434C40"/>
    <w:rsid w:val="00434CDF"/>
    <w:rsid w:val="00435486"/>
    <w:rsid w:val="00436B21"/>
    <w:rsid w:val="0043722A"/>
    <w:rsid w:val="004400FA"/>
    <w:rsid w:val="00441B28"/>
    <w:rsid w:val="004443BF"/>
    <w:rsid w:val="00446100"/>
    <w:rsid w:val="00446168"/>
    <w:rsid w:val="00450C4C"/>
    <w:rsid w:val="00451315"/>
    <w:rsid w:val="00452238"/>
    <w:rsid w:val="0045323F"/>
    <w:rsid w:val="004534DC"/>
    <w:rsid w:val="00453E3F"/>
    <w:rsid w:val="00455538"/>
    <w:rsid w:val="00455FC1"/>
    <w:rsid w:val="00456CE9"/>
    <w:rsid w:val="00457B5C"/>
    <w:rsid w:val="004604AA"/>
    <w:rsid w:val="004609F4"/>
    <w:rsid w:val="00460A90"/>
    <w:rsid w:val="00460E7D"/>
    <w:rsid w:val="004613F1"/>
    <w:rsid w:val="00461D3F"/>
    <w:rsid w:val="00463745"/>
    <w:rsid w:val="004643D5"/>
    <w:rsid w:val="00464BD2"/>
    <w:rsid w:val="00464FA4"/>
    <w:rsid w:val="00465805"/>
    <w:rsid w:val="00465BEF"/>
    <w:rsid w:val="0046650F"/>
    <w:rsid w:val="00466A4F"/>
    <w:rsid w:val="004674D7"/>
    <w:rsid w:val="004709D2"/>
    <w:rsid w:val="00471343"/>
    <w:rsid w:val="004714C2"/>
    <w:rsid w:val="00471747"/>
    <w:rsid w:val="00471DA1"/>
    <w:rsid w:val="00472245"/>
    <w:rsid w:val="00473D8C"/>
    <w:rsid w:val="004746CA"/>
    <w:rsid w:val="00474881"/>
    <w:rsid w:val="00475281"/>
    <w:rsid w:val="00476512"/>
    <w:rsid w:val="004774F9"/>
    <w:rsid w:val="0047750E"/>
    <w:rsid w:val="00480676"/>
    <w:rsid w:val="00480789"/>
    <w:rsid w:val="0048120D"/>
    <w:rsid w:val="0048324A"/>
    <w:rsid w:val="0048402F"/>
    <w:rsid w:val="00484155"/>
    <w:rsid w:val="004853E3"/>
    <w:rsid w:val="00485AEB"/>
    <w:rsid w:val="004866AD"/>
    <w:rsid w:val="00487552"/>
    <w:rsid w:val="00487874"/>
    <w:rsid w:val="00487C56"/>
    <w:rsid w:val="004908DD"/>
    <w:rsid w:val="00490D1E"/>
    <w:rsid w:val="00492BD8"/>
    <w:rsid w:val="00493D55"/>
    <w:rsid w:val="00493E64"/>
    <w:rsid w:val="00494099"/>
    <w:rsid w:val="00494646"/>
    <w:rsid w:val="00495BC7"/>
    <w:rsid w:val="00495BF5"/>
    <w:rsid w:val="004964DD"/>
    <w:rsid w:val="0049661C"/>
    <w:rsid w:val="004969E7"/>
    <w:rsid w:val="00497039"/>
    <w:rsid w:val="004A0257"/>
    <w:rsid w:val="004A0805"/>
    <w:rsid w:val="004A0B6A"/>
    <w:rsid w:val="004A19ED"/>
    <w:rsid w:val="004A1CF7"/>
    <w:rsid w:val="004A1E2F"/>
    <w:rsid w:val="004A2261"/>
    <w:rsid w:val="004A2647"/>
    <w:rsid w:val="004A2B02"/>
    <w:rsid w:val="004A3E6E"/>
    <w:rsid w:val="004A4CB6"/>
    <w:rsid w:val="004A518E"/>
    <w:rsid w:val="004A5556"/>
    <w:rsid w:val="004A677C"/>
    <w:rsid w:val="004A7583"/>
    <w:rsid w:val="004A7612"/>
    <w:rsid w:val="004B0AAA"/>
    <w:rsid w:val="004B16FE"/>
    <w:rsid w:val="004B1F0E"/>
    <w:rsid w:val="004B284C"/>
    <w:rsid w:val="004B3BF0"/>
    <w:rsid w:val="004B4314"/>
    <w:rsid w:val="004B621C"/>
    <w:rsid w:val="004B6AED"/>
    <w:rsid w:val="004B6D9E"/>
    <w:rsid w:val="004B704F"/>
    <w:rsid w:val="004C007A"/>
    <w:rsid w:val="004C00D3"/>
    <w:rsid w:val="004C0B47"/>
    <w:rsid w:val="004C141E"/>
    <w:rsid w:val="004C1488"/>
    <w:rsid w:val="004C1713"/>
    <w:rsid w:val="004C1892"/>
    <w:rsid w:val="004C2A7B"/>
    <w:rsid w:val="004C2A94"/>
    <w:rsid w:val="004C302F"/>
    <w:rsid w:val="004C348F"/>
    <w:rsid w:val="004C3D4E"/>
    <w:rsid w:val="004C459D"/>
    <w:rsid w:val="004C46F3"/>
    <w:rsid w:val="004C489C"/>
    <w:rsid w:val="004C4A5B"/>
    <w:rsid w:val="004C519E"/>
    <w:rsid w:val="004C54A7"/>
    <w:rsid w:val="004C5B2E"/>
    <w:rsid w:val="004C5D99"/>
    <w:rsid w:val="004C6808"/>
    <w:rsid w:val="004C7122"/>
    <w:rsid w:val="004C7D81"/>
    <w:rsid w:val="004D04D8"/>
    <w:rsid w:val="004D0A9E"/>
    <w:rsid w:val="004D11E0"/>
    <w:rsid w:val="004D1B06"/>
    <w:rsid w:val="004D1BE4"/>
    <w:rsid w:val="004D279C"/>
    <w:rsid w:val="004D2886"/>
    <w:rsid w:val="004D351F"/>
    <w:rsid w:val="004D430B"/>
    <w:rsid w:val="004D4AB5"/>
    <w:rsid w:val="004D4DFB"/>
    <w:rsid w:val="004D571C"/>
    <w:rsid w:val="004D58BC"/>
    <w:rsid w:val="004D64E2"/>
    <w:rsid w:val="004D670A"/>
    <w:rsid w:val="004D6E7F"/>
    <w:rsid w:val="004D7312"/>
    <w:rsid w:val="004D79B4"/>
    <w:rsid w:val="004E0C29"/>
    <w:rsid w:val="004E17C8"/>
    <w:rsid w:val="004E1A27"/>
    <w:rsid w:val="004E1EA3"/>
    <w:rsid w:val="004E309C"/>
    <w:rsid w:val="004E3A84"/>
    <w:rsid w:val="004E43C9"/>
    <w:rsid w:val="004E4934"/>
    <w:rsid w:val="004E4DA4"/>
    <w:rsid w:val="004E673C"/>
    <w:rsid w:val="004E7A7F"/>
    <w:rsid w:val="004E7D76"/>
    <w:rsid w:val="004E7DBF"/>
    <w:rsid w:val="004F0451"/>
    <w:rsid w:val="004F0454"/>
    <w:rsid w:val="004F1020"/>
    <w:rsid w:val="004F17C5"/>
    <w:rsid w:val="004F22C8"/>
    <w:rsid w:val="004F2515"/>
    <w:rsid w:val="004F2BCD"/>
    <w:rsid w:val="004F3DAF"/>
    <w:rsid w:val="004F45B5"/>
    <w:rsid w:val="004F5ED6"/>
    <w:rsid w:val="004F61D9"/>
    <w:rsid w:val="004F7AD1"/>
    <w:rsid w:val="004F7D90"/>
    <w:rsid w:val="00501423"/>
    <w:rsid w:val="00501733"/>
    <w:rsid w:val="00501769"/>
    <w:rsid w:val="00501A46"/>
    <w:rsid w:val="00501ECA"/>
    <w:rsid w:val="00501FBB"/>
    <w:rsid w:val="0050296B"/>
    <w:rsid w:val="0050365F"/>
    <w:rsid w:val="005037B3"/>
    <w:rsid w:val="0050402B"/>
    <w:rsid w:val="00505338"/>
    <w:rsid w:val="0050590F"/>
    <w:rsid w:val="00505CCB"/>
    <w:rsid w:val="00506136"/>
    <w:rsid w:val="005105BE"/>
    <w:rsid w:val="00511747"/>
    <w:rsid w:val="005117D4"/>
    <w:rsid w:val="00512234"/>
    <w:rsid w:val="00513267"/>
    <w:rsid w:val="0051338C"/>
    <w:rsid w:val="005136F5"/>
    <w:rsid w:val="005138CB"/>
    <w:rsid w:val="0051395C"/>
    <w:rsid w:val="00513BA5"/>
    <w:rsid w:val="00515FE6"/>
    <w:rsid w:val="00516067"/>
    <w:rsid w:val="005161EC"/>
    <w:rsid w:val="0051625E"/>
    <w:rsid w:val="005179CC"/>
    <w:rsid w:val="00522F16"/>
    <w:rsid w:val="00523BBA"/>
    <w:rsid w:val="00523F98"/>
    <w:rsid w:val="0052428F"/>
    <w:rsid w:val="00524437"/>
    <w:rsid w:val="00524B2F"/>
    <w:rsid w:val="00524C3A"/>
    <w:rsid w:val="00524F77"/>
    <w:rsid w:val="0052652B"/>
    <w:rsid w:val="005265D7"/>
    <w:rsid w:val="005266A0"/>
    <w:rsid w:val="00526A3D"/>
    <w:rsid w:val="00526A4C"/>
    <w:rsid w:val="00526A5A"/>
    <w:rsid w:val="00526F05"/>
    <w:rsid w:val="00527055"/>
    <w:rsid w:val="0052737B"/>
    <w:rsid w:val="005279AE"/>
    <w:rsid w:val="005279F1"/>
    <w:rsid w:val="00530456"/>
    <w:rsid w:val="00531630"/>
    <w:rsid w:val="0053169B"/>
    <w:rsid w:val="005319AE"/>
    <w:rsid w:val="005323CC"/>
    <w:rsid w:val="00533067"/>
    <w:rsid w:val="00533F03"/>
    <w:rsid w:val="00534002"/>
    <w:rsid w:val="00534D5C"/>
    <w:rsid w:val="0053523D"/>
    <w:rsid w:val="00536146"/>
    <w:rsid w:val="005367CA"/>
    <w:rsid w:val="00536913"/>
    <w:rsid w:val="0053726A"/>
    <w:rsid w:val="00537BB3"/>
    <w:rsid w:val="00537F13"/>
    <w:rsid w:val="00540A8B"/>
    <w:rsid w:val="005427C3"/>
    <w:rsid w:val="00542CDE"/>
    <w:rsid w:val="0054448A"/>
    <w:rsid w:val="00545EB8"/>
    <w:rsid w:val="00546A35"/>
    <w:rsid w:val="00546AE7"/>
    <w:rsid w:val="00547A57"/>
    <w:rsid w:val="0055022C"/>
    <w:rsid w:val="0055077F"/>
    <w:rsid w:val="005514FB"/>
    <w:rsid w:val="005518F2"/>
    <w:rsid w:val="005522E2"/>
    <w:rsid w:val="005534BD"/>
    <w:rsid w:val="00553C75"/>
    <w:rsid w:val="005542D4"/>
    <w:rsid w:val="005558BE"/>
    <w:rsid w:val="00555A33"/>
    <w:rsid w:val="0055634E"/>
    <w:rsid w:val="0055676C"/>
    <w:rsid w:val="00557205"/>
    <w:rsid w:val="00557262"/>
    <w:rsid w:val="00557C77"/>
    <w:rsid w:val="00560281"/>
    <w:rsid w:val="00560BC7"/>
    <w:rsid w:val="00561F51"/>
    <w:rsid w:val="005624D6"/>
    <w:rsid w:val="005629F9"/>
    <w:rsid w:val="0056309B"/>
    <w:rsid w:val="005632A0"/>
    <w:rsid w:val="00563B8D"/>
    <w:rsid w:val="00564031"/>
    <w:rsid w:val="005640A8"/>
    <w:rsid w:val="00564188"/>
    <w:rsid w:val="005649CB"/>
    <w:rsid w:val="00564BFC"/>
    <w:rsid w:val="00565D27"/>
    <w:rsid w:val="00566F42"/>
    <w:rsid w:val="00567536"/>
    <w:rsid w:val="00567D1B"/>
    <w:rsid w:val="00570D41"/>
    <w:rsid w:val="0057190C"/>
    <w:rsid w:val="00572199"/>
    <w:rsid w:val="00572478"/>
    <w:rsid w:val="00572C56"/>
    <w:rsid w:val="00572F71"/>
    <w:rsid w:val="00573661"/>
    <w:rsid w:val="005744DF"/>
    <w:rsid w:val="00574675"/>
    <w:rsid w:val="0057598A"/>
    <w:rsid w:val="00575FC7"/>
    <w:rsid w:val="00576A08"/>
    <w:rsid w:val="00576D5F"/>
    <w:rsid w:val="005777B1"/>
    <w:rsid w:val="00577862"/>
    <w:rsid w:val="00581017"/>
    <w:rsid w:val="005818EA"/>
    <w:rsid w:val="00583589"/>
    <w:rsid w:val="00583AE5"/>
    <w:rsid w:val="0058432D"/>
    <w:rsid w:val="00584A8C"/>
    <w:rsid w:val="00585A3C"/>
    <w:rsid w:val="0058662A"/>
    <w:rsid w:val="0058670C"/>
    <w:rsid w:val="005872DC"/>
    <w:rsid w:val="005875ED"/>
    <w:rsid w:val="00587E53"/>
    <w:rsid w:val="00592905"/>
    <w:rsid w:val="005929FF"/>
    <w:rsid w:val="00592EBD"/>
    <w:rsid w:val="005933AA"/>
    <w:rsid w:val="00593B3B"/>
    <w:rsid w:val="005944BB"/>
    <w:rsid w:val="005950F4"/>
    <w:rsid w:val="00595C00"/>
    <w:rsid w:val="005963C3"/>
    <w:rsid w:val="00597C98"/>
    <w:rsid w:val="00597F2F"/>
    <w:rsid w:val="005A07B4"/>
    <w:rsid w:val="005A0DF6"/>
    <w:rsid w:val="005A13D2"/>
    <w:rsid w:val="005A2B91"/>
    <w:rsid w:val="005A2F19"/>
    <w:rsid w:val="005A2F33"/>
    <w:rsid w:val="005A33B9"/>
    <w:rsid w:val="005A3B02"/>
    <w:rsid w:val="005A4CFC"/>
    <w:rsid w:val="005A4D56"/>
    <w:rsid w:val="005A50AE"/>
    <w:rsid w:val="005A61A7"/>
    <w:rsid w:val="005A637D"/>
    <w:rsid w:val="005A646F"/>
    <w:rsid w:val="005A7C64"/>
    <w:rsid w:val="005A7C7D"/>
    <w:rsid w:val="005A7E94"/>
    <w:rsid w:val="005B0282"/>
    <w:rsid w:val="005B0639"/>
    <w:rsid w:val="005B0B10"/>
    <w:rsid w:val="005B0B7E"/>
    <w:rsid w:val="005B2439"/>
    <w:rsid w:val="005B2B8F"/>
    <w:rsid w:val="005B2F52"/>
    <w:rsid w:val="005B36B5"/>
    <w:rsid w:val="005B51DA"/>
    <w:rsid w:val="005B5635"/>
    <w:rsid w:val="005B5867"/>
    <w:rsid w:val="005B5AC6"/>
    <w:rsid w:val="005B5EC2"/>
    <w:rsid w:val="005B7489"/>
    <w:rsid w:val="005B76F7"/>
    <w:rsid w:val="005C0D23"/>
    <w:rsid w:val="005C1268"/>
    <w:rsid w:val="005C3093"/>
    <w:rsid w:val="005C4053"/>
    <w:rsid w:val="005C49F9"/>
    <w:rsid w:val="005C51CB"/>
    <w:rsid w:val="005C656F"/>
    <w:rsid w:val="005C6787"/>
    <w:rsid w:val="005C7331"/>
    <w:rsid w:val="005D1235"/>
    <w:rsid w:val="005D4366"/>
    <w:rsid w:val="005D45FA"/>
    <w:rsid w:val="005D50B3"/>
    <w:rsid w:val="005D5CEA"/>
    <w:rsid w:val="005D6A24"/>
    <w:rsid w:val="005D6AAE"/>
    <w:rsid w:val="005D7084"/>
    <w:rsid w:val="005D732C"/>
    <w:rsid w:val="005E054D"/>
    <w:rsid w:val="005E1F21"/>
    <w:rsid w:val="005E1F93"/>
    <w:rsid w:val="005E205E"/>
    <w:rsid w:val="005E2287"/>
    <w:rsid w:val="005E2DB5"/>
    <w:rsid w:val="005E4968"/>
    <w:rsid w:val="005E4E61"/>
    <w:rsid w:val="005E5415"/>
    <w:rsid w:val="005E5D6B"/>
    <w:rsid w:val="005E6B6A"/>
    <w:rsid w:val="005E743C"/>
    <w:rsid w:val="005F14B2"/>
    <w:rsid w:val="005F1987"/>
    <w:rsid w:val="005F1B49"/>
    <w:rsid w:val="005F4220"/>
    <w:rsid w:val="005F43C8"/>
    <w:rsid w:val="005F488B"/>
    <w:rsid w:val="005F4CB8"/>
    <w:rsid w:val="005F6B45"/>
    <w:rsid w:val="005F7423"/>
    <w:rsid w:val="005F76D3"/>
    <w:rsid w:val="006005C4"/>
    <w:rsid w:val="00601397"/>
    <w:rsid w:val="006023AD"/>
    <w:rsid w:val="0060283B"/>
    <w:rsid w:val="00602C16"/>
    <w:rsid w:val="00603746"/>
    <w:rsid w:val="0060397C"/>
    <w:rsid w:val="00603D9B"/>
    <w:rsid w:val="00604144"/>
    <w:rsid w:val="00604554"/>
    <w:rsid w:val="006052A4"/>
    <w:rsid w:val="0060539E"/>
    <w:rsid w:val="0060561E"/>
    <w:rsid w:val="006058A2"/>
    <w:rsid w:val="00606553"/>
    <w:rsid w:val="006068B6"/>
    <w:rsid w:val="0060690E"/>
    <w:rsid w:val="00606C95"/>
    <w:rsid w:val="00606E81"/>
    <w:rsid w:val="006072C2"/>
    <w:rsid w:val="006100DF"/>
    <w:rsid w:val="006120C8"/>
    <w:rsid w:val="0061391C"/>
    <w:rsid w:val="006148A4"/>
    <w:rsid w:val="00614900"/>
    <w:rsid w:val="00614BE3"/>
    <w:rsid w:val="00614C95"/>
    <w:rsid w:val="00614E40"/>
    <w:rsid w:val="00614F31"/>
    <w:rsid w:val="006155A3"/>
    <w:rsid w:val="006169B8"/>
    <w:rsid w:val="0061719A"/>
    <w:rsid w:val="00620290"/>
    <w:rsid w:val="00620306"/>
    <w:rsid w:val="006212D3"/>
    <w:rsid w:val="006213AD"/>
    <w:rsid w:val="006214ED"/>
    <w:rsid w:val="00621D08"/>
    <w:rsid w:val="00622049"/>
    <w:rsid w:val="00622246"/>
    <w:rsid w:val="00624E66"/>
    <w:rsid w:val="006271CB"/>
    <w:rsid w:val="00630124"/>
    <w:rsid w:val="0063085F"/>
    <w:rsid w:val="006320C2"/>
    <w:rsid w:val="00632FEB"/>
    <w:rsid w:val="0063319E"/>
    <w:rsid w:val="00634141"/>
    <w:rsid w:val="00634345"/>
    <w:rsid w:val="006347B2"/>
    <w:rsid w:val="00634D68"/>
    <w:rsid w:val="00635289"/>
    <w:rsid w:val="006361A2"/>
    <w:rsid w:val="0063674F"/>
    <w:rsid w:val="0064171D"/>
    <w:rsid w:val="0064172E"/>
    <w:rsid w:val="006430F9"/>
    <w:rsid w:val="006434E8"/>
    <w:rsid w:val="006458FB"/>
    <w:rsid w:val="00645D12"/>
    <w:rsid w:val="0064654B"/>
    <w:rsid w:val="00646C1B"/>
    <w:rsid w:val="00647160"/>
    <w:rsid w:val="00650004"/>
    <w:rsid w:val="00650D00"/>
    <w:rsid w:val="00650D86"/>
    <w:rsid w:val="00651B76"/>
    <w:rsid w:val="00652214"/>
    <w:rsid w:val="006525BF"/>
    <w:rsid w:val="00652814"/>
    <w:rsid w:val="00652AFD"/>
    <w:rsid w:val="006535BB"/>
    <w:rsid w:val="0065373B"/>
    <w:rsid w:val="00653B9A"/>
    <w:rsid w:val="00653C5B"/>
    <w:rsid w:val="00653F38"/>
    <w:rsid w:val="00654996"/>
    <w:rsid w:val="006549E0"/>
    <w:rsid w:val="00654AA0"/>
    <w:rsid w:val="006555FA"/>
    <w:rsid w:val="0065581F"/>
    <w:rsid w:val="00657673"/>
    <w:rsid w:val="00657FAC"/>
    <w:rsid w:val="00657FB9"/>
    <w:rsid w:val="0066068E"/>
    <w:rsid w:val="006606A8"/>
    <w:rsid w:val="00660A1C"/>
    <w:rsid w:val="006616F2"/>
    <w:rsid w:val="00661D11"/>
    <w:rsid w:val="00662798"/>
    <w:rsid w:val="006628B0"/>
    <w:rsid w:val="00663285"/>
    <w:rsid w:val="00666686"/>
    <w:rsid w:val="0067046E"/>
    <w:rsid w:val="00672023"/>
    <w:rsid w:val="006728D3"/>
    <w:rsid w:val="00673489"/>
    <w:rsid w:val="0067427F"/>
    <w:rsid w:val="00674610"/>
    <w:rsid w:val="006756DE"/>
    <w:rsid w:val="00675783"/>
    <w:rsid w:val="00675997"/>
    <w:rsid w:val="00676171"/>
    <w:rsid w:val="006764CF"/>
    <w:rsid w:val="00676521"/>
    <w:rsid w:val="00676805"/>
    <w:rsid w:val="00676FD0"/>
    <w:rsid w:val="00677345"/>
    <w:rsid w:val="006778B2"/>
    <w:rsid w:val="00680305"/>
    <w:rsid w:val="006803CE"/>
    <w:rsid w:val="00681222"/>
    <w:rsid w:val="00681C76"/>
    <w:rsid w:val="006820BD"/>
    <w:rsid w:val="00682FCC"/>
    <w:rsid w:val="00683E97"/>
    <w:rsid w:val="00685923"/>
    <w:rsid w:val="00685B57"/>
    <w:rsid w:val="006860F1"/>
    <w:rsid w:val="00687109"/>
    <w:rsid w:val="0068738F"/>
    <w:rsid w:val="0068755C"/>
    <w:rsid w:val="00690405"/>
    <w:rsid w:val="00690B19"/>
    <w:rsid w:val="006910FB"/>
    <w:rsid w:val="006920D5"/>
    <w:rsid w:val="006921BE"/>
    <w:rsid w:val="0069266F"/>
    <w:rsid w:val="00693E0F"/>
    <w:rsid w:val="006955A2"/>
    <w:rsid w:val="00696DC0"/>
    <w:rsid w:val="00697503"/>
    <w:rsid w:val="00697965"/>
    <w:rsid w:val="006A0588"/>
    <w:rsid w:val="006A1A19"/>
    <w:rsid w:val="006A2DDB"/>
    <w:rsid w:val="006A3424"/>
    <w:rsid w:val="006A4C28"/>
    <w:rsid w:val="006A4E70"/>
    <w:rsid w:val="006A5F0E"/>
    <w:rsid w:val="006A6327"/>
    <w:rsid w:val="006A68A8"/>
    <w:rsid w:val="006A6B99"/>
    <w:rsid w:val="006A793C"/>
    <w:rsid w:val="006B14EC"/>
    <w:rsid w:val="006B17DC"/>
    <w:rsid w:val="006B1B41"/>
    <w:rsid w:val="006B2668"/>
    <w:rsid w:val="006B3626"/>
    <w:rsid w:val="006B3832"/>
    <w:rsid w:val="006B458A"/>
    <w:rsid w:val="006B5047"/>
    <w:rsid w:val="006B527C"/>
    <w:rsid w:val="006B578A"/>
    <w:rsid w:val="006B59C6"/>
    <w:rsid w:val="006B5C22"/>
    <w:rsid w:val="006B618E"/>
    <w:rsid w:val="006C0304"/>
    <w:rsid w:val="006C1139"/>
    <w:rsid w:val="006C1B5F"/>
    <w:rsid w:val="006C3539"/>
    <w:rsid w:val="006C3AFC"/>
    <w:rsid w:val="006C44F3"/>
    <w:rsid w:val="006C4561"/>
    <w:rsid w:val="006C4CEC"/>
    <w:rsid w:val="006C558D"/>
    <w:rsid w:val="006C624D"/>
    <w:rsid w:val="006C674E"/>
    <w:rsid w:val="006C7306"/>
    <w:rsid w:val="006C7F78"/>
    <w:rsid w:val="006D039E"/>
    <w:rsid w:val="006D04AE"/>
    <w:rsid w:val="006D0696"/>
    <w:rsid w:val="006D1B6C"/>
    <w:rsid w:val="006D21F4"/>
    <w:rsid w:val="006D22E5"/>
    <w:rsid w:val="006D3D99"/>
    <w:rsid w:val="006D4F4C"/>
    <w:rsid w:val="006D65A6"/>
    <w:rsid w:val="006D67A9"/>
    <w:rsid w:val="006D7696"/>
    <w:rsid w:val="006E0B68"/>
    <w:rsid w:val="006E0C28"/>
    <w:rsid w:val="006E1729"/>
    <w:rsid w:val="006E1873"/>
    <w:rsid w:val="006E2505"/>
    <w:rsid w:val="006E3D18"/>
    <w:rsid w:val="006E431A"/>
    <w:rsid w:val="006E54EB"/>
    <w:rsid w:val="006E5E00"/>
    <w:rsid w:val="006E62F5"/>
    <w:rsid w:val="006E68CF"/>
    <w:rsid w:val="006E6CB4"/>
    <w:rsid w:val="006E7CA2"/>
    <w:rsid w:val="006E7CE9"/>
    <w:rsid w:val="006F0B1B"/>
    <w:rsid w:val="006F131F"/>
    <w:rsid w:val="006F1A25"/>
    <w:rsid w:val="006F1BB7"/>
    <w:rsid w:val="006F1C07"/>
    <w:rsid w:val="006F1D05"/>
    <w:rsid w:val="006F27F6"/>
    <w:rsid w:val="006F4525"/>
    <w:rsid w:val="006F505B"/>
    <w:rsid w:val="006F5AB1"/>
    <w:rsid w:val="006F5D27"/>
    <w:rsid w:val="006F6AF4"/>
    <w:rsid w:val="006F71A6"/>
    <w:rsid w:val="006F7A1D"/>
    <w:rsid w:val="007000BA"/>
    <w:rsid w:val="0070058F"/>
    <w:rsid w:val="0070135D"/>
    <w:rsid w:val="00702862"/>
    <w:rsid w:val="007039D4"/>
    <w:rsid w:val="00704391"/>
    <w:rsid w:val="00704A22"/>
    <w:rsid w:val="00704EEB"/>
    <w:rsid w:val="00705C3B"/>
    <w:rsid w:val="00705FBF"/>
    <w:rsid w:val="007066DB"/>
    <w:rsid w:val="00706D2C"/>
    <w:rsid w:val="0070711F"/>
    <w:rsid w:val="00707D8E"/>
    <w:rsid w:val="007103EC"/>
    <w:rsid w:val="00711851"/>
    <w:rsid w:val="007126E2"/>
    <w:rsid w:val="00712B39"/>
    <w:rsid w:val="0071315D"/>
    <w:rsid w:val="00714B98"/>
    <w:rsid w:val="00716763"/>
    <w:rsid w:val="0071689A"/>
    <w:rsid w:val="00716C6C"/>
    <w:rsid w:val="007178F2"/>
    <w:rsid w:val="00717E7E"/>
    <w:rsid w:val="0072191B"/>
    <w:rsid w:val="00722F3E"/>
    <w:rsid w:val="00723002"/>
    <w:rsid w:val="0072459B"/>
    <w:rsid w:val="0072478E"/>
    <w:rsid w:val="0072515D"/>
    <w:rsid w:val="00726130"/>
    <w:rsid w:val="00726657"/>
    <w:rsid w:val="00726E37"/>
    <w:rsid w:val="0072708E"/>
    <w:rsid w:val="00727813"/>
    <w:rsid w:val="007300F1"/>
    <w:rsid w:val="00731810"/>
    <w:rsid w:val="007321A5"/>
    <w:rsid w:val="00732E87"/>
    <w:rsid w:val="0073343D"/>
    <w:rsid w:val="00733A46"/>
    <w:rsid w:val="0073408B"/>
    <w:rsid w:val="0073706F"/>
    <w:rsid w:val="007377F6"/>
    <w:rsid w:val="00740EEC"/>
    <w:rsid w:val="00741657"/>
    <w:rsid w:val="0074169D"/>
    <w:rsid w:val="0074183A"/>
    <w:rsid w:val="00741A92"/>
    <w:rsid w:val="00741E52"/>
    <w:rsid w:val="00741F79"/>
    <w:rsid w:val="00742777"/>
    <w:rsid w:val="00742A86"/>
    <w:rsid w:val="00742B29"/>
    <w:rsid w:val="0074324E"/>
    <w:rsid w:val="007438BA"/>
    <w:rsid w:val="00745747"/>
    <w:rsid w:val="00745E93"/>
    <w:rsid w:val="00747AFF"/>
    <w:rsid w:val="00747FEA"/>
    <w:rsid w:val="00750F4E"/>
    <w:rsid w:val="0075188E"/>
    <w:rsid w:val="00751C4F"/>
    <w:rsid w:val="00751D8B"/>
    <w:rsid w:val="007530EA"/>
    <w:rsid w:val="007540CB"/>
    <w:rsid w:val="007543F6"/>
    <w:rsid w:val="00755CCA"/>
    <w:rsid w:val="007609A1"/>
    <w:rsid w:val="00760C6F"/>
    <w:rsid w:val="007613D9"/>
    <w:rsid w:val="00762732"/>
    <w:rsid w:val="00762D4C"/>
    <w:rsid w:val="007631BD"/>
    <w:rsid w:val="007634C1"/>
    <w:rsid w:val="00764232"/>
    <w:rsid w:val="0076429C"/>
    <w:rsid w:val="007649DA"/>
    <w:rsid w:val="00764AF3"/>
    <w:rsid w:val="00764FA1"/>
    <w:rsid w:val="00765598"/>
    <w:rsid w:val="007666F2"/>
    <w:rsid w:val="00766C05"/>
    <w:rsid w:val="00766D74"/>
    <w:rsid w:val="007709B3"/>
    <w:rsid w:val="007742A1"/>
    <w:rsid w:val="0077484F"/>
    <w:rsid w:val="007749A8"/>
    <w:rsid w:val="00774F3C"/>
    <w:rsid w:val="00775725"/>
    <w:rsid w:val="007759D4"/>
    <w:rsid w:val="00776AE5"/>
    <w:rsid w:val="00776FBD"/>
    <w:rsid w:val="0077770B"/>
    <w:rsid w:val="00777AD6"/>
    <w:rsid w:val="00780614"/>
    <w:rsid w:val="00780E99"/>
    <w:rsid w:val="00781300"/>
    <w:rsid w:val="00781FE5"/>
    <w:rsid w:val="00782644"/>
    <w:rsid w:val="007830E6"/>
    <w:rsid w:val="007837F7"/>
    <w:rsid w:val="0078381D"/>
    <w:rsid w:val="007846AD"/>
    <w:rsid w:val="00784AC6"/>
    <w:rsid w:val="00786525"/>
    <w:rsid w:val="00786EF9"/>
    <w:rsid w:val="007876AD"/>
    <w:rsid w:val="00787710"/>
    <w:rsid w:val="00787DA2"/>
    <w:rsid w:val="00790B8E"/>
    <w:rsid w:val="00790C84"/>
    <w:rsid w:val="00790D14"/>
    <w:rsid w:val="007910CB"/>
    <w:rsid w:val="0079127B"/>
    <w:rsid w:val="007912BC"/>
    <w:rsid w:val="00791F0F"/>
    <w:rsid w:val="00791F72"/>
    <w:rsid w:val="00792168"/>
    <w:rsid w:val="00793153"/>
    <w:rsid w:val="00794177"/>
    <w:rsid w:val="007941EE"/>
    <w:rsid w:val="00794E27"/>
    <w:rsid w:val="007962C3"/>
    <w:rsid w:val="00796F2B"/>
    <w:rsid w:val="00796FD5"/>
    <w:rsid w:val="00797A92"/>
    <w:rsid w:val="007A0395"/>
    <w:rsid w:val="007A0A65"/>
    <w:rsid w:val="007A0A8E"/>
    <w:rsid w:val="007A1004"/>
    <w:rsid w:val="007A10A3"/>
    <w:rsid w:val="007A1282"/>
    <w:rsid w:val="007A16B5"/>
    <w:rsid w:val="007A2B57"/>
    <w:rsid w:val="007A3379"/>
    <w:rsid w:val="007A34AB"/>
    <w:rsid w:val="007A3FDD"/>
    <w:rsid w:val="007A54C7"/>
    <w:rsid w:val="007A566C"/>
    <w:rsid w:val="007A6160"/>
    <w:rsid w:val="007A66D8"/>
    <w:rsid w:val="007A684F"/>
    <w:rsid w:val="007A6A14"/>
    <w:rsid w:val="007A6C9B"/>
    <w:rsid w:val="007B005B"/>
    <w:rsid w:val="007B1DD8"/>
    <w:rsid w:val="007B1F65"/>
    <w:rsid w:val="007B205E"/>
    <w:rsid w:val="007B264B"/>
    <w:rsid w:val="007B4178"/>
    <w:rsid w:val="007B4353"/>
    <w:rsid w:val="007B5731"/>
    <w:rsid w:val="007B5AFB"/>
    <w:rsid w:val="007B7334"/>
    <w:rsid w:val="007B7C36"/>
    <w:rsid w:val="007C0127"/>
    <w:rsid w:val="007C0481"/>
    <w:rsid w:val="007C0552"/>
    <w:rsid w:val="007C097B"/>
    <w:rsid w:val="007C0A5D"/>
    <w:rsid w:val="007C1CE9"/>
    <w:rsid w:val="007C2219"/>
    <w:rsid w:val="007C2F75"/>
    <w:rsid w:val="007C37FB"/>
    <w:rsid w:val="007C434A"/>
    <w:rsid w:val="007C647F"/>
    <w:rsid w:val="007C6864"/>
    <w:rsid w:val="007C6B59"/>
    <w:rsid w:val="007C6D66"/>
    <w:rsid w:val="007C7605"/>
    <w:rsid w:val="007D085C"/>
    <w:rsid w:val="007D0B00"/>
    <w:rsid w:val="007D2AFD"/>
    <w:rsid w:val="007D3436"/>
    <w:rsid w:val="007D3678"/>
    <w:rsid w:val="007D378E"/>
    <w:rsid w:val="007D4281"/>
    <w:rsid w:val="007D4413"/>
    <w:rsid w:val="007D4678"/>
    <w:rsid w:val="007D49D4"/>
    <w:rsid w:val="007D4DB8"/>
    <w:rsid w:val="007D5B78"/>
    <w:rsid w:val="007D6198"/>
    <w:rsid w:val="007D6561"/>
    <w:rsid w:val="007D7B9D"/>
    <w:rsid w:val="007D7C90"/>
    <w:rsid w:val="007D7CB3"/>
    <w:rsid w:val="007D7E07"/>
    <w:rsid w:val="007E0BD7"/>
    <w:rsid w:val="007E2840"/>
    <w:rsid w:val="007E3218"/>
    <w:rsid w:val="007E3B58"/>
    <w:rsid w:val="007E3E20"/>
    <w:rsid w:val="007E4F89"/>
    <w:rsid w:val="007E5019"/>
    <w:rsid w:val="007E6592"/>
    <w:rsid w:val="007E687E"/>
    <w:rsid w:val="007E6C31"/>
    <w:rsid w:val="007F0208"/>
    <w:rsid w:val="007F05FA"/>
    <w:rsid w:val="007F0F76"/>
    <w:rsid w:val="007F1092"/>
    <w:rsid w:val="007F158B"/>
    <w:rsid w:val="007F1D5D"/>
    <w:rsid w:val="007F1D7D"/>
    <w:rsid w:val="007F21B5"/>
    <w:rsid w:val="007F2276"/>
    <w:rsid w:val="007F22B0"/>
    <w:rsid w:val="007F3D7D"/>
    <w:rsid w:val="007F41CA"/>
    <w:rsid w:val="007F4203"/>
    <w:rsid w:val="007F4AE3"/>
    <w:rsid w:val="007F4C46"/>
    <w:rsid w:val="007F4D45"/>
    <w:rsid w:val="007F4F42"/>
    <w:rsid w:val="007F4F7F"/>
    <w:rsid w:val="007F59EE"/>
    <w:rsid w:val="007F6624"/>
    <w:rsid w:val="007F6666"/>
    <w:rsid w:val="007F6918"/>
    <w:rsid w:val="00800EB1"/>
    <w:rsid w:val="008014F5"/>
    <w:rsid w:val="00801C91"/>
    <w:rsid w:val="00801ED5"/>
    <w:rsid w:val="0080206D"/>
    <w:rsid w:val="0080219C"/>
    <w:rsid w:val="00802B2F"/>
    <w:rsid w:val="008030E7"/>
    <w:rsid w:val="0080482B"/>
    <w:rsid w:val="0080574C"/>
    <w:rsid w:val="00805D65"/>
    <w:rsid w:val="00806C0C"/>
    <w:rsid w:val="008071DF"/>
    <w:rsid w:val="008074E9"/>
    <w:rsid w:val="00807702"/>
    <w:rsid w:val="0081137A"/>
    <w:rsid w:val="00811429"/>
    <w:rsid w:val="00811B2C"/>
    <w:rsid w:val="008128BB"/>
    <w:rsid w:val="008134D0"/>
    <w:rsid w:val="00814463"/>
    <w:rsid w:val="00814583"/>
    <w:rsid w:val="0081480B"/>
    <w:rsid w:val="00815064"/>
    <w:rsid w:val="00816288"/>
    <w:rsid w:val="008162F9"/>
    <w:rsid w:val="0081699E"/>
    <w:rsid w:val="00817114"/>
    <w:rsid w:val="00817EEF"/>
    <w:rsid w:val="0082039E"/>
    <w:rsid w:val="00820AA8"/>
    <w:rsid w:val="008212C8"/>
    <w:rsid w:val="008217DF"/>
    <w:rsid w:val="00821989"/>
    <w:rsid w:val="00821E74"/>
    <w:rsid w:val="00822048"/>
    <w:rsid w:val="008221AC"/>
    <w:rsid w:val="0082231F"/>
    <w:rsid w:val="00822350"/>
    <w:rsid w:val="00822A22"/>
    <w:rsid w:val="008238B5"/>
    <w:rsid w:val="008251F0"/>
    <w:rsid w:val="00825B7F"/>
    <w:rsid w:val="00825EDF"/>
    <w:rsid w:val="00826199"/>
    <w:rsid w:val="0082623F"/>
    <w:rsid w:val="0082641B"/>
    <w:rsid w:val="0082705D"/>
    <w:rsid w:val="00827CA6"/>
    <w:rsid w:val="00830490"/>
    <w:rsid w:val="008307DD"/>
    <w:rsid w:val="0083083B"/>
    <w:rsid w:val="00830B0F"/>
    <w:rsid w:val="00830BB2"/>
    <w:rsid w:val="00830C56"/>
    <w:rsid w:val="00830D84"/>
    <w:rsid w:val="00830E21"/>
    <w:rsid w:val="00830FB6"/>
    <w:rsid w:val="008314AB"/>
    <w:rsid w:val="00831857"/>
    <w:rsid w:val="00831FD0"/>
    <w:rsid w:val="00832C60"/>
    <w:rsid w:val="00833093"/>
    <w:rsid w:val="008339AC"/>
    <w:rsid w:val="00833C23"/>
    <w:rsid w:val="0083413C"/>
    <w:rsid w:val="00835123"/>
    <w:rsid w:val="0083547C"/>
    <w:rsid w:val="00837ABB"/>
    <w:rsid w:val="00837B4D"/>
    <w:rsid w:val="00837CA1"/>
    <w:rsid w:val="008403FA"/>
    <w:rsid w:val="00840655"/>
    <w:rsid w:val="008407C9"/>
    <w:rsid w:val="00840869"/>
    <w:rsid w:val="008409B7"/>
    <w:rsid w:val="00840BD4"/>
    <w:rsid w:val="008410AD"/>
    <w:rsid w:val="008412C5"/>
    <w:rsid w:val="0084258B"/>
    <w:rsid w:val="008429F4"/>
    <w:rsid w:val="00843AFC"/>
    <w:rsid w:val="00843E1C"/>
    <w:rsid w:val="0084471D"/>
    <w:rsid w:val="00844D04"/>
    <w:rsid w:val="00845EFF"/>
    <w:rsid w:val="008460C8"/>
    <w:rsid w:val="008462F4"/>
    <w:rsid w:val="00846523"/>
    <w:rsid w:val="00847415"/>
    <w:rsid w:val="00847481"/>
    <w:rsid w:val="008476AC"/>
    <w:rsid w:val="00847A46"/>
    <w:rsid w:val="00847A7E"/>
    <w:rsid w:val="008507F0"/>
    <w:rsid w:val="0085087B"/>
    <w:rsid w:val="00850C21"/>
    <w:rsid w:val="00850D47"/>
    <w:rsid w:val="008510B0"/>
    <w:rsid w:val="00851262"/>
    <w:rsid w:val="00851A32"/>
    <w:rsid w:val="00851F28"/>
    <w:rsid w:val="00852ACB"/>
    <w:rsid w:val="00852B12"/>
    <w:rsid w:val="0085364E"/>
    <w:rsid w:val="0085420E"/>
    <w:rsid w:val="00854CEA"/>
    <w:rsid w:val="00854F96"/>
    <w:rsid w:val="008558CA"/>
    <w:rsid w:val="00856654"/>
    <w:rsid w:val="0085707C"/>
    <w:rsid w:val="008574BC"/>
    <w:rsid w:val="00857B23"/>
    <w:rsid w:val="00857B65"/>
    <w:rsid w:val="008601C8"/>
    <w:rsid w:val="00860D62"/>
    <w:rsid w:val="00860D93"/>
    <w:rsid w:val="008616A2"/>
    <w:rsid w:val="00862D2A"/>
    <w:rsid w:val="00863CC9"/>
    <w:rsid w:val="00864ED3"/>
    <w:rsid w:val="008659B5"/>
    <w:rsid w:val="008660B5"/>
    <w:rsid w:val="008708F4"/>
    <w:rsid w:val="00870CCD"/>
    <w:rsid w:val="00870FA7"/>
    <w:rsid w:val="00871918"/>
    <w:rsid w:val="00871D27"/>
    <w:rsid w:val="00872361"/>
    <w:rsid w:val="008727D6"/>
    <w:rsid w:val="00874404"/>
    <w:rsid w:val="00874EFA"/>
    <w:rsid w:val="00876E28"/>
    <w:rsid w:val="0087719F"/>
    <w:rsid w:val="00877615"/>
    <w:rsid w:val="00877828"/>
    <w:rsid w:val="00877AF8"/>
    <w:rsid w:val="00880392"/>
    <w:rsid w:val="00881682"/>
    <w:rsid w:val="008817B7"/>
    <w:rsid w:val="00882746"/>
    <w:rsid w:val="00883822"/>
    <w:rsid w:val="00883A70"/>
    <w:rsid w:val="00883BB7"/>
    <w:rsid w:val="008854DB"/>
    <w:rsid w:val="00885978"/>
    <w:rsid w:val="008873BA"/>
    <w:rsid w:val="00887951"/>
    <w:rsid w:val="00887F15"/>
    <w:rsid w:val="00890646"/>
    <w:rsid w:val="00890B55"/>
    <w:rsid w:val="00890F5E"/>
    <w:rsid w:val="0089102E"/>
    <w:rsid w:val="00891228"/>
    <w:rsid w:val="00891FB2"/>
    <w:rsid w:val="00892918"/>
    <w:rsid w:val="00893622"/>
    <w:rsid w:val="00893A2E"/>
    <w:rsid w:val="0089504D"/>
    <w:rsid w:val="00896B97"/>
    <w:rsid w:val="00897129"/>
    <w:rsid w:val="00897767"/>
    <w:rsid w:val="00897D01"/>
    <w:rsid w:val="008A03B6"/>
    <w:rsid w:val="008A0BD3"/>
    <w:rsid w:val="008A1F43"/>
    <w:rsid w:val="008A36BE"/>
    <w:rsid w:val="008A4885"/>
    <w:rsid w:val="008A4BF9"/>
    <w:rsid w:val="008A5BCE"/>
    <w:rsid w:val="008A7B45"/>
    <w:rsid w:val="008B0843"/>
    <w:rsid w:val="008B0950"/>
    <w:rsid w:val="008B0B34"/>
    <w:rsid w:val="008B0B5E"/>
    <w:rsid w:val="008B1225"/>
    <w:rsid w:val="008B1BC1"/>
    <w:rsid w:val="008B1FC7"/>
    <w:rsid w:val="008B220F"/>
    <w:rsid w:val="008B3674"/>
    <w:rsid w:val="008B3BB8"/>
    <w:rsid w:val="008B6A0A"/>
    <w:rsid w:val="008B6B32"/>
    <w:rsid w:val="008B6E5C"/>
    <w:rsid w:val="008B6F5B"/>
    <w:rsid w:val="008B705A"/>
    <w:rsid w:val="008B77EB"/>
    <w:rsid w:val="008C0AA2"/>
    <w:rsid w:val="008C1281"/>
    <w:rsid w:val="008C1D04"/>
    <w:rsid w:val="008C1E5E"/>
    <w:rsid w:val="008C20E6"/>
    <w:rsid w:val="008C233C"/>
    <w:rsid w:val="008C36B6"/>
    <w:rsid w:val="008C378F"/>
    <w:rsid w:val="008C3D06"/>
    <w:rsid w:val="008C4359"/>
    <w:rsid w:val="008C43EC"/>
    <w:rsid w:val="008C45C6"/>
    <w:rsid w:val="008C47F9"/>
    <w:rsid w:val="008C49D4"/>
    <w:rsid w:val="008C4D85"/>
    <w:rsid w:val="008C4FC2"/>
    <w:rsid w:val="008C58F9"/>
    <w:rsid w:val="008C66A8"/>
    <w:rsid w:val="008C6CB4"/>
    <w:rsid w:val="008C6DF8"/>
    <w:rsid w:val="008C7E33"/>
    <w:rsid w:val="008D08DF"/>
    <w:rsid w:val="008D12BB"/>
    <w:rsid w:val="008D1F5B"/>
    <w:rsid w:val="008D2C38"/>
    <w:rsid w:val="008D30F3"/>
    <w:rsid w:val="008D3D3E"/>
    <w:rsid w:val="008D4694"/>
    <w:rsid w:val="008D481D"/>
    <w:rsid w:val="008D4892"/>
    <w:rsid w:val="008D552F"/>
    <w:rsid w:val="008D6AF2"/>
    <w:rsid w:val="008D7140"/>
    <w:rsid w:val="008D78A1"/>
    <w:rsid w:val="008E11E8"/>
    <w:rsid w:val="008E1893"/>
    <w:rsid w:val="008E33D0"/>
    <w:rsid w:val="008E3AAF"/>
    <w:rsid w:val="008E407C"/>
    <w:rsid w:val="008E442D"/>
    <w:rsid w:val="008E4790"/>
    <w:rsid w:val="008E481E"/>
    <w:rsid w:val="008E4CA1"/>
    <w:rsid w:val="008E4F4B"/>
    <w:rsid w:val="008E525C"/>
    <w:rsid w:val="008E7698"/>
    <w:rsid w:val="008E7F3C"/>
    <w:rsid w:val="008F081A"/>
    <w:rsid w:val="008F0D94"/>
    <w:rsid w:val="008F2584"/>
    <w:rsid w:val="008F34B2"/>
    <w:rsid w:val="008F3895"/>
    <w:rsid w:val="008F4963"/>
    <w:rsid w:val="008F538D"/>
    <w:rsid w:val="008F6106"/>
    <w:rsid w:val="008F65D7"/>
    <w:rsid w:val="008F705E"/>
    <w:rsid w:val="00901D48"/>
    <w:rsid w:val="009020CF"/>
    <w:rsid w:val="00902BB3"/>
    <w:rsid w:val="00903526"/>
    <w:rsid w:val="009036C2"/>
    <w:rsid w:val="009048AF"/>
    <w:rsid w:val="00904A58"/>
    <w:rsid w:val="0090532F"/>
    <w:rsid w:val="0090688C"/>
    <w:rsid w:val="00906BCE"/>
    <w:rsid w:val="00907C0A"/>
    <w:rsid w:val="00907CF9"/>
    <w:rsid w:val="0091193B"/>
    <w:rsid w:val="00912549"/>
    <w:rsid w:val="009127EB"/>
    <w:rsid w:val="00912809"/>
    <w:rsid w:val="0091329F"/>
    <w:rsid w:val="009136DF"/>
    <w:rsid w:val="009138B9"/>
    <w:rsid w:val="00913A77"/>
    <w:rsid w:val="009151ED"/>
    <w:rsid w:val="00915448"/>
    <w:rsid w:val="00915B03"/>
    <w:rsid w:val="009165B7"/>
    <w:rsid w:val="00916AC8"/>
    <w:rsid w:val="00916ED2"/>
    <w:rsid w:val="00920E90"/>
    <w:rsid w:val="00922300"/>
    <w:rsid w:val="00922CB0"/>
    <w:rsid w:val="00922DCD"/>
    <w:rsid w:val="00924192"/>
    <w:rsid w:val="00926036"/>
    <w:rsid w:val="0092653A"/>
    <w:rsid w:val="009271C5"/>
    <w:rsid w:val="00927E68"/>
    <w:rsid w:val="009336AE"/>
    <w:rsid w:val="00934FD6"/>
    <w:rsid w:val="00935CBD"/>
    <w:rsid w:val="00935D30"/>
    <w:rsid w:val="00936203"/>
    <w:rsid w:val="009366AB"/>
    <w:rsid w:val="0093775E"/>
    <w:rsid w:val="009405E4"/>
    <w:rsid w:val="0094104A"/>
    <w:rsid w:val="00941845"/>
    <w:rsid w:val="009424D7"/>
    <w:rsid w:val="009430A9"/>
    <w:rsid w:val="00943C3E"/>
    <w:rsid w:val="00943F53"/>
    <w:rsid w:val="00944174"/>
    <w:rsid w:val="009448B4"/>
    <w:rsid w:val="009459F3"/>
    <w:rsid w:val="0094669B"/>
    <w:rsid w:val="00946D28"/>
    <w:rsid w:val="00946E6C"/>
    <w:rsid w:val="009500D4"/>
    <w:rsid w:val="0095153A"/>
    <w:rsid w:val="009523E1"/>
    <w:rsid w:val="0095366C"/>
    <w:rsid w:val="009541F4"/>
    <w:rsid w:val="00954337"/>
    <w:rsid w:val="00956027"/>
    <w:rsid w:val="0095602C"/>
    <w:rsid w:val="00956B98"/>
    <w:rsid w:val="00957317"/>
    <w:rsid w:val="00957542"/>
    <w:rsid w:val="00960A65"/>
    <w:rsid w:val="00960B11"/>
    <w:rsid w:val="00961156"/>
    <w:rsid w:val="009619BE"/>
    <w:rsid w:val="00961B36"/>
    <w:rsid w:val="00962537"/>
    <w:rsid w:val="00962D2A"/>
    <w:rsid w:val="009647FD"/>
    <w:rsid w:val="00964892"/>
    <w:rsid w:val="00964C71"/>
    <w:rsid w:val="00966A52"/>
    <w:rsid w:val="00966C9A"/>
    <w:rsid w:val="00966D55"/>
    <w:rsid w:val="00967563"/>
    <w:rsid w:val="00967A96"/>
    <w:rsid w:val="0097016D"/>
    <w:rsid w:val="00971CA4"/>
    <w:rsid w:val="009723D7"/>
    <w:rsid w:val="009735A3"/>
    <w:rsid w:val="00973CAE"/>
    <w:rsid w:val="00974004"/>
    <w:rsid w:val="0097654A"/>
    <w:rsid w:val="00976569"/>
    <w:rsid w:val="00976C19"/>
    <w:rsid w:val="00980CD7"/>
    <w:rsid w:val="00981DAA"/>
    <w:rsid w:val="00982AEE"/>
    <w:rsid w:val="009841DE"/>
    <w:rsid w:val="00984989"/>
    <w:rsid w:val="009856A2"/>
    <w:rsid w:val="009859E2"/>
    <w:rsid w:val="00986286"/>
    <w:rsid w:val="00986432"/>
    <w:rsid w:val="009872D6"/>
    <w:rsid w:val="0098775D"/>
    <w:rsid w:val="00987D5B"/>
    <w:rsid w:val="00987DD0"/>
    <w:rsid w:val="009910BF"/>
    <w:rsid w:val="00991255"/>
    <w:rsid w:val="009912CA"/>
    <w:rsid w:val="009923A6"/>
    <w:rsid w:val="0099253E"/>
    <w:rsid w:val="00992647"/>
    <w:rsid w:val="00992668"/>
    <w:rsid w:val="0099281C"/>
    <w:rsid w:val="00992839"/>
    <w:rsid w:val="00992EB7"/>
    <w:rsid w:val="00993869"/>
    <w:rsid w:val="0099539F"/>
    <w:rsid w:val="009955D8"/>
    <w:rsid w:val="00995A8E"/>
    <w:rsid w:val="00995CBB"/>
    <w:rsid w:val="00995F14"/>
    <w:rsid w:val="00996E47"/>
    <w:rsid w:val="00997C7E"/>
    <w:rsid w:val="009A1486"/>
    <w:rsid w:val="009A1FC3"/>
    <w:rsid w:val="009A236E"/>
    <w:rsid w:val="009A27EB"/>
    <w:rsid w:val="009A3337"/>
    <w:rsid w:val="009A37F0"/>
    <w:rsid w:val="009A3CD8"/>
    <w:rsid w:val="009A53B2"/>
    <w:rsid w:val="009A55DD"/>
    <w:rsid w:val="009A650E"/>
    <w:rsid w:val="009A7BF3"/>
    <w:rsid w:val="009A7D53"/>
    <w:rsid w:val="009B0D10"/>
    <w:rsid w:val="009B0DD5"/>
    <w:rsid w:val="009B212D"/>
    <w:rsid w:val="009B2FD9"/>
    <w:rsid w:val="009B4028"/>
    <w:rsid w:val="009B4F0D"/>
    <w:rsid w:val="009B5435"/>
    <w:rsid w:val="009B67A1"/>
    <w:rsid w:val="009B688E"/>
    <w:rsid w:val="009B73CB"/>
    <w:rsid w:val="009B73FE"/>
    <w:rsid w:val="009B78DB"/>
    <w:rsid w:val="009B7B8F"/>
    <w:rsid w:val="009B7E77"/>
    <w:rsid w:val="009B7EE4"/>
    <w:rsid w:val="009C0EFB"/>
    <w:rsid w:val="009C1577"/>
    <w:rsid w:val="009C2693"/>
    <w:rsid w:val="009C2E37"/>
    <w:rsid w:val="009C3AC1"/>
    <w:rsid w:val="009C3C45"/>
    <w:rsid w:val="009C4091"/>
    <w:rsid w:val="009C43D1"/>
    <w:rsid w:val="009C4640"/>
    <w:rsid w:val="009C474B"/>
    <w:rsid w:val="009C5288"/>
    <w:rsid w:val="009C6F05"/>
    <w:rsid w:val="009C6F32"/>
    <w:rsid w:val="009C75A9"/>
    <w:rsid w:val="009C76C9"/>
    <w:rsid w:val="009C7D8A"/>
    <w:rsid w:val="009C7F9D"/>
    <w:rsid w:val="009D0055"/>
    <w:rsid w:val="009D1CAB"/>
    <w:rsid w:val="009D2C3B"/>
    <w:rsid w:val="009D306D"/>
    <w:rsid w:val="009D3BAB"/>
    <w:rsid w:val="009D4D1F"/>
    <w:rsid w:val="009D536D"/>
    <w:rsid w:val="009D53ED"/>
    <w:rsid w:val="009D5B5F"/>
    <w:rsid w:val="009D6665"/>
    <w:rsid w:val="009D68E7"/>
    <w:rsid w:val="009D6AD0"/>
    <w:rsid w:val="009D7085"/>
    <w:rsid w:val="009D7AB0"/>
    <w:rsid w:val="009E1676"/>
    <w:rsid w:val="009E1888"/>
    <w:rsid w:val="009E1DB0"/>
    <w:rsid w:val="009E2C06"/>
    <w:rsid w:val="009E2F1E"/>
    <w:rsid w:val="009E3D85"/>
    <w:rsid w:val="009E3EEC"/>
    <w:rsid w:val="009E41F7"/>
    <w:rsid w:val="009E4435"/>
    <w:rsid w:val="009E568A"/>
    <w:rsid w:val="009E5EBD"/>
    <w:rsid w:val="009E618F"/>
    <w:rsid w:val="009E6B35"/>
    <w:rsid w:val="009E7182"/>
    <w:rsid w:val="009E7CA3"/>
    <w:rsid w:val="009F017E"/>
    <w:rsid w:val="009F08F5"/>
    <w:rsid w:val="009F1304"/>
    <w:rsid w:val="009F24EB"/>
    <w:rsid w:val="009F25DB"/>
    <w:rsid w:val="009F2DE7"/>
    <w:rsid w:val="009F35BD"/>
    <w:rsid w:val="009F4C79"/>
    <w:rsid w:val="009F7FF9"/>
    <w:rsid w:val="00A009B4"/>
    <w:rsid w:val="00A031D7"/>
    <w:rsid w:val="00A03348"/>
    <w:rsid w:val="00A03444"/>
    <w:rsid w:val="00A0351A"/>
    <w:rsid w:val="00A045C0"/>
    <w:rsid w:val="00A04F57"/>
    <w:rsid w:val="00A05708"/>
    <w:rsid w:val="00A066B6"/>
    <w:rsid w:val="00A074D8"/>
    <w:rsid w:val="00A1008D"/>
    <w:rsid w:val="00A10615"/>
    <w:rsid w:val="00A10ACF"/>
    <w:rsid w:val="00A11436"/>
    <w:rsid w:val="00A11DE4"/>
    <w:rsid w:val="00A125FF"/>
    <w:rsid w:val="00A127E8"/>
    <w:rsid w:val="00A14A75"/>
    <w:rsid w:val="00A15390"/>
    <w:rsid w:val="00A16102"/>
    <w:rsid w:val="00A1636B"/>
    <w:rsid w:val="00A1696B"/>
    <w:rsid w:val="00A16AFF"/>
    <w:rsid w:val="00A16C1C"/>
    <w:rsid w:val="00A17ACD"/>
    <w:rsid w:val="00A20240"/>
    <w:rsid w:val="00A20D5F"/>
    <w:rsid w:val="00A23277"/>
    <w:rsid w:val="00A238A8"/>
    <w:rsid w:val="00A245FD"/>
    <w:rsid w:val="00A2473D"/>
    <w:rsid w:val="00A2506A"/>
    <w:rsid w:val="00A253B9"/>
    <w:rsid w:val="00A261B7"/>
    <w:rsid w:val="00A26B01"/>
    <w:rsid w:val="00A30FD4"/>
    <w:rsid w:val="00A31BD9"/>
    <w:rsid w:val="00A3267B"/>
    <w:rsid w:val="00A32706"/>
    <w:rsid w:val="00A342C9"/>
    <w:rsid w:val="00A34AA9"/>
    <w:rsid w:val="00A35358"/>
    <w:rsid w:val="00A353FC"/>
    <w:rsid w:val="00A371A1"/>
    <w:rsid w:val="00A375E5"/>
    <w:rsid w:val="00A403D1"/>
    <w:rsid w:val="00A414CF"/>
    <w:rsid w:val="00A41664"/>
    <w:rsid w:val="00A418BC"/>
    <w:rsid w:val="00A428AB"/>
    <w:rsid w:val="00A42B2A"/>
    <w:rsid w:val="00A43090"/>
    <w:rsid w:val="00A4317E"/>
    <w:rsid w:val="00A43904"/>
    <w:rsid w:val="00A43F44"/>
    <w:rsid w:val="00A44ABD"/>
    <w:rsid w:val="00A44ED8"/>
    <w:rsid w:val="00A45BEC"/>
    <w:rsid w:val="00A46946"/>
    <w:rsid w:val="00A47792"/>
    <w:rsid w:val="00A47A07"/>
    <w:rsid w:val="00A500BB"/>
    <w:rsid w:val="00A50E89"/>
    <w:rsid w:val="00A510BA"/>
    <w:rsid w:val="00A51551"/>
    <w:rsid w:val="00A5186F"/>
    <w:rsid w:val="00A51FED"/>
    <w:rsid w:val="00A53779"/>
    <w:rsid w:val="00A537C5"/>
    <w:rsid w:val="00A546D7"/>
    <w:rsid w:val="00A54E48"/>
    <w:rsid w:val="00A54FB5"/>
    <w:rsid w:val="00A55F5A"/>
    <w:rsid w:val="00A56337"/>
    <w:rsid w:val="00A56392"/>
    <w:rsid w:val="00A56FE1"/>
    <w:rsid w:val="00A63D7D"/>
    <w:rsid w:val="00A65C4C"/>
    <w:rsid w:val="00A6609A"/>
    <w:rsid w:val="00A66187"/>
    <w:rsid w:val="00A66196"/>
    <w:rsid w:val="00A66714"/>
    <w:rsid w:val="00A66BF6"/>
    <w:rsid w:val="00A71635"/>
    <w:rsid w:val="00A71A1C"/>
    <w:rsid w:val="00A72B4C"/>
    <w:rsid w:val="00A72DC3"/>
    <w:rsid w:val="00A73B8A"/>
    <w:rsid w:val="00A75364"/>
    <w:rsid w:val="00A755D9"/>
    <w:rsid w:val="00A76543"/>
    <w:rsid w:val="00A7671F"/>
    <w:rsid w:val="00A77436"/>
    <w:rsid w:val="00A77647"/>
    <w:rsid w:val="00A776D8"/>
    <w:rsid w:val="00A8001F"/>
    <w:rsid w:val="00A80E61"/>
    <w:rsid w:val="00A811BB"/>
    <w:rsid w:val="00A81206"/>
    <w:rsid w:val="00A81B41"/>
    <w:rsid w:val="00A821FF"/>
    <w:rsid w:val="00A82684"/>
    <w:rsid w:val="00A8284F"/>
    <w:rsid w:val="00A82C6B"/>
    <w:rsid w:val="00A8300E"/>
    <w:rsid w:val="00A835FF"/>
    <w:rsid w:val="00A838B4"/>
    <w:rsid w:val="00A83ABB"/>
    <w:rsid w:val="00A84CCA"/>
    <w:rsid w:val="00A8554C"/>
    <w:rsid w:val="00A85916"/>
    <w:rsid w:val="00A86118"/>
    <w:rsid w:val="00A86147"/>
    <w:rsid w:val="00A864FE"/>
    <w:rsid w:val="00A86834"/>
    <w:rsid w:val="00A90756"/>
    <w:rsid w:val="00A90E6E"/>
    <w:rsid w:val="00A91763"/>
    <w:rsid w:val="00A931B9"/>
    <w:rsid w:val="00A93DB7"/>
    <w:rsid w:val="00A95BEA"/>
    <w:rsid w:val="00A9616D"/>
    <w:rsid w:val="00A96BC4"/>
    <w:rsid w:val="00A9751C"/>
    <w:rsid w:val="00A97529"/>
    <w:rsid w:val="00A97571"/>
    <w:rsid w:val="00A9774E"/>
    <w:rsid w:val="00AA0F9D"/>
    <w:rsid w:val="00AA1346"/>
    <w:rsid w:val="00AA1746"/>
    <w:rsid w:val="00AA2841"/>
    <w:rsid w:val="00AA369A"/>
    <w:rsid w:val="00AA3A9D"/>
    <w:rsid w:val="00AA46DC"/>
    <w:rsid w:val="00AA4AB0"/>
    <w:rsid w:val="00AA4CEB"/>
    <w:rsid w:val="00AA58BA"/>
    <w:rsid w:val="00AA6003"/>
    <w:rsid w:val="00AA679E"/>
    <w:rsid w:val="00AA7734"/>
    <w:rsid w:val="00AB0DEE"/>
    <w:rsid w:val="00AB18F8"/>
    <w:rsid w:val="00AB2D5D"/>
    <w:rsid w:val="00AB34C5"/>
    <w:rsid w:val="00AB37BD"/>
    <w:rsid w:val="00AB40B8"/>
    <w:rsid w:val="00AB51F7"/>
    <w:rsid w:val="00AB652E"/>
    <w:rsid w:val="00AB6DFB"/>
    <w:rsid w:val="00AB7C79"/>
    <w:rsid w:val="00AC0155"/>
    <w:rsid w:val="00AC088F"/>
    <w:rsid w:val="00AC1A19"/>
    <w:rsid w:val="00AC296B"/>
    <w:rsid w:val="00AC2E54"/>
    <w:rsid w:val="00AC326F"/>
    <w:rsid w:val="00AC34B5"/>
    <w:rsid w:val="00AC35AF"/>
    <w:rsid w:val="00AC363F"/>
    <w:rsid w:val="00AC3E97"/>
    <w:rsid w:val="00AC49ED"/>
    <w:rsid w:val="00AC5496"/>
    <w:rsid w:val="00AC639C"/>
    <w:rsid w:val="00AC690C"/>
    <w:rsid w:val="00AC6DEB"/>
    <w:rsid w:val="00AD0AF1"/>
    <w:rsid w:val="00AD0D39"/>
    <w:rsid w:val="00AD0EC7"/>
    <w:rsid w:val="00AD143A"/>
    <w:rsid w:val="00AD21E8"/>
    <w:rsid w:val="00AD225A"/>
    <w:rsid w:val="00AD353E"/>
    <w:rsid w:val="00AD3AD8"/>
    <w:rsid w:val="00AD4D0A"/>
    <w:rsid w:val="00AD53FF"/>
    <w:rsid w:val="00AD5BF8"/>
    <w:rsid w:val="00AD71F2"/>
    <w:rsid w:val="00AD74BC"/>
    <w:rsid w:val="00AD7847"/>
    <w:rsid w:val="00AD78CE"/>
    <w:rsid w:val="00AE006E"/>
    <w:rsid w:val="00AE0C9C"/>
    <w:rsid w:val="00AE221F"/>
    <w:rsid w:val="00AE2962"/>
    <w:rsid w:val="00AE2B72"/>
    <w:rsid w:val="00AE30D6"/>
    <w:rsid w:val="00AE42EE"/>
    <w:rsid w:val="00AE50DC"/>
    <w:rsid w:val="00AE58E5"/>
    <w:rsid w:val="00AE6C99"/>
    <w:rsid w:val="00AE6DEE"/>
    <w:rsid w:val="00AE74AB"/>
    <w:rsid w:val="00AE75F3"/>
    <w:rsid w:val="00AF09F7"/>
    <w:rsid w:val="00AF1151"/>
    <w:rsid w:val="00AF458F"/>
    <w:rsid w:val="00AF5015"/>
    <w:rsid w:val="00AF53B1"/>
    <w:rsid w:val="00AF5B0B"/>
    <w:rsid w:val="00AF6347"/>
    <w:rsid w:val="00AF6935"/>
    <w:rsid w:val="00AF6C03"/>
    <w:rsid w:val="00AF7B7D"/>
    <w:rsid w:val="00B008CD"/>
    <w:rsid w:val="00B00AF8"/>
    <w:rsid w:val="00B01B27"/>
    <w:rsid w:val="00B01D4E"/>
    <w:rsid w:val="00B0237B"/>
    <w:rsid w:val="00B032AA"/>
    <w:rsid w:val="00B032B3"/>
    <w:rsid w:val="00B032D4"/>
    <w:rsid w:val="00B0334E"/>
    <w:rsid w:val="00B035BF"/>
    <w:rsid w:val="00B03E00"/>
    <w:rsid w:val="00B04314"/>
    <w:rsid w:val="00B0583B"/>
    <w:rsid w:val="00B05ED6"/>
    <w:rsid w:val="00B06289"/>
    <w:rsid w:val="00B06445"/>
    <w:rsid w:val="00B06A76"/>
    <w:rsid w:val="00B07390"/>
    <w:rsid w:val="00B077CD"/>
    <w:rsid w:val="00B1031E"/>
    <w:rsid w:val="00B11142"/>
    <w:rsid w:val="00B11E5F"/>
    <w:rsid w:val="00B12477"/>
    <w:rsid w:val="00B124CD"/>
    <w:rsid w:val="00B1355A"/>
    <w:rsid w:val="00B14728"/>
    <w:rsid w:val="00B15ACB"/>
    <w:rsid w:val="00B16196"/>
    <w:rsid w:val="00B16653"/>
    <w:rsid w:val="00B175A2"/>
    <w:rsid w:val="00B20102"/>
    <w:rsid w:val="00B21101"/>
    <w:rsid w:val="00B211E0"/>
    <w:rsid w:val="00B2185C"/>
    <w:rsid w:val="00B21B5B"/>
    <w:rsid w:val="00B21D35"/>
    <w:rsid w:val="00B21FA6"/>
    <w:rsid w:val="00B25AAE"/>
    <w:rsid w:val="00B26040"/>
    <w:rsid w:val="00B262C0"/>
    <w:rsid w:val="00B26923"/>
    <w:rsid w:val="00B26A15"/>
    <w:rsid w:val="00B26C36"/>
    <w:rsid w:val="00B272D1"/>
    <w:rsid w:val="00B27475"/>
    <w:rsid w:val="00B302FE"/>
    <w:rsid w:val="00B30842"/>
    <w:rsid w:val="00B30ECE"/>
    <w:rsid w:val="00B31980"/>
    <w:rsid w:val="00B3266E"/>
    <w:rsid w:val="00B326A3"/>
    <w:rsid w:val="00B33210"/>
    <w:rsid w:val="00B33372"/>
    <w:rsid w:val="00B3346D"/>
    <w:rsid w:val="00B33769"/>
    <w:rsid w:val="00B33B0C"/>
    <w:rsid w:val="00B34180"/>
    <w:rsid w:val="00B34A2F"/>
    <w:rsid w:val="00B34FE2"/>
    <w:rsid w:val="00B350F0"/>
    <w:rsid w:val="00B3614E"/>
    <w:rsid w:val="00B36184"/>
    <w:rsid w:val="00B36326"/>
    <w:rsid w:val="00B3652A"/>
    <w:rsid w:val="00B37344"/>
    <w:rsid w:val="00B379A8"/>
    <w:rsid w:val="00B4013C"/>
    <w:rsid w:val="00B40801"/>
    <w:rsid w:val="00B41749"/>
    <w:rsid w:val="00B41F9D"/>
    <w:rsid w:val="00B436F0"/>
    <w:rsid w:val="00B43CE3"/>
    <w:rsid w:val="00B444F8"/>
    <w:rsid w:val="00B44DFB"/>
    <w:rsid w:val="00B44F71"/>
    <w:rsid w:val="00B45607"/>
    <w:rsid w:val="00B46F5C"/>
    <w:rsid w:val="00B47467"/>
    <w:rsid w:val="00B47474"/>
    <w:rsid w:val="00B50B66"/>
    <w:rsid w:val="00B50C25"/>
    <w:rsid w:val="00B51221"/>
    <w:rsid w:val="00B5149E"/>
    <w:rsid w:val="00B51578"/>
    <w:rsid w:val="00B51B7E"/>
    <w:rsid w:val="00B521A3"/>
    <w:rsid w:val="00B5264D"/>
    <w:rsid w:val="00B5269A"/>
    <w:rsid w:val="00B53410"/>
    <w:rsid w:val="00B534AB"/>
    <w:rsid w:val="00B53E7C"/>
    <w:rsid w:val="00B552E6"/>
    <w:rsid w:val="00B55615"/>
    <w:rsid w:val="00B5588B"/>
    <w:rsid w:val="00B55BAB"/>
    <w:rsid w:val="00B55E02"/>
    <w:rsid w:val="00B568CA"/>
    <w:rsid w:val="00B569B8"/>
    <w:rsid w:val="00B57345"/>
    <w:rsid w:val="00B57897"/>
    <w:rsid w:val="00B579FD"/>
    <w:rsid w:val="00B60307"/>
    <w:rsid w:val="00B60BB9"/>
    <w:rsid w:val="00B61008"/>
    <w:rsid w:val="00B6108E"/>
    <w:rsid w:val="00B61C97"/>
    <w:rsid w:val="00B623F6"/>
    <w:rsid w:val="00B62515"/>
    <w:rsid w:val="00B62792"/>
    <w:rsid w:val="00B6279C"/>
    <w:rsid w:val="00B629F3"/>
    <w:rsid w:val="00B6338D"/>
    <w:rsid w:val="00B633DB"/>
    <w:rsid w:val="00B6377D"/>
    <w:rsid w:val="00B63E12"/>
    <w:rsid w:val="00B646FD"/>
    <w:rsid w:val="00B649B2"/>
    <w:rsid w:val="00B651D4"/>
    <w:rsid w:val="00B65A20"/>
    <w:rsid w:val="00B664D0"/>
    <w:rsid w:val="00B66C8B"/>
    <w:rsid w:val="00B6745D"/>
    <w:rsid w:val="00B70407"/>
    <w:rsid w:val="00B70CAC"/>
    <w:rsid w:val="00B71788"/>
    <w:rsid w:val="00B72FC1"/>
    <w:rsid w:val="00B730BB"/>
    <w:rsid w:val="00B73EAF"/>
    <w:rsid w:val="00B7420C"/>
    <w:rsid w:val="00B7456D"/>
    <w:rsid w:val="00B75006"/>
    <w:rsid w:val="00B753A5"/>
    <w:rsid w:val="00B75817"/>
    <w:rsid w:val="00B75F14"/>
    <w:rsid w:val="00B76508"/>
    <w:rsid w:val="00B76C2A"/>
    <w:rsid w:val="00B76C5F"/>
    <w:rsid w:val="00B773C2"/>
    <w:rsid w:val="00B81C67"/>
    <w:rsid w:val="00B82BDB"/>
    <w:rsid w:val="00B835F5"/>
    <w:rsid w:val="00B843E8"/>
    <w:rsid w:val="00B85B80"/>
    <w:rsid w:val="00B87D19"/>
    <w:rsid w:val="00B87E38"/>
    <w:rsid w:val="00B900CD"/>
    <w:rsid w:val="00B90ABD"/>
    <w:rsid w:val="00B90E9D"/>
    <w:rsid w:val="00B91EEE"/>
    <w:rsid w:val="00B929BA"/>
    <w:rsid w:val="00B92C98"/>
    <w:rsid w:val="00B93152"/>
    <w:rsid w:val="00B937AE"/>
    <w:rsid w:val="00B93AB9"/>
    <w:rsid w:val="00B95912"/>
    <w:rsid w:val="00B9695C"/>
    <w:rsid w:val="00B96C45"/>
    <w:rsid w:val="00B96D21"/>
    <w:rsid w:val="00B96F20"/>
    <w:rsid w:val="00B9741C"/>
    <w:rsid w:val="00BA0589"/>
    <w:rsid w:val="00BA05FF"/>
    <w:rsid w:val="00BA0D60"/>
    <w:rsid w:val="00BA1847"/>
    <w:rsid w:val="00BA1DC1"/>
    <w:rsid w:val="00BA2354"/>
    <w:rsid w:val="00BA2D97"/>
    <w:rsid w:val="00BA361E"/>
    <w:rsid w:val="00BA36B5"/>
    <w:rsid w:val="00BA3CD0"/>
    <w:rsid w:val="00BA45D3"/>
    <w:rsid w:val="00BA4BE4"/>
    <w:rsid w:val="00BA4D3B"/>
    <w:rsid w:val="00BA61ED"/>
    <w:rsid w:val="00BA690A"/>
    <w:rsid w:val="00BA73DA"/>
    <w:rsid w:val="00BA749E"/>
    <w:rsid w:val="00BB0695"/>
    <w:rsid w:val="00BB1FB6"/>
    <w:rsid w:val="00BB2729"/>
    <w:rsid w:val="00BB36EE"/>
    <w:rsid w:val="00BB3AEF"/>
    <w:rsid w:val="00BB3F91"/>
    <w:rsid w:val="00BB506E"/>
    <w:rsid w:val="00BB5B77"/>
    <w:rsid w:val="00BB60F0"/>
    <w:rsid w:val="00BB61C1"/>
    <w:rsid w:val="00BB6416"/>
    <w:rsid w:val="00BB6C46"/>
    <w:rsid w:val="00BB7971"/>
    <w:rsid w:val="00BC04F0"/>
    <w:rsid w:val="00BC0DF1"/>
    <w:rsid w:val="00BC10F2"/>
    <w:rsid w:val="00BC2BBA"/>
    <w:rsid w:val="00BC38C9"/>
    <w:rsid w:val="00BC3A4B"/>
    <w:rsid w:val="00BC3AF4"/>
    <w:rsid w:val="00BC4327"/>
    <w:rsid w:val="00BC4550"/>
    <w:rsid w:val="00BC47DA"/>
    <w:rsid w:val="00BC49CA"/>
    <w:rsid w:val="00BC4F77"/>
    <w:rsid w:val="00BC5FDB"/>
    <w:rsid w:val="00BC6C07"/>
    <w:rsid w:val="00BC6C33"/>
    <w:rsid w:val="00BC6D7F"/>
    <w:rsid w:val="00BC72CE"/>
    <w:rsid w:val="00BC7E7D"/>
    <w:rsid w:val="00BD0029"/>
    <w:rsid w:val="00BD1D52"/>
    <w:rsid w:val="00BD1D61"/>
    <w:rsid w:val="00BD2701"/>
    <w:rsid w:val="00BD674F"/>
    <w:rsid w:val="00BD6F39"/>
    <w:rsid w:val="00BD7072"/>
    <w:rsid w:val="00BD73F2"/>
    <w:rsid w:val="00BE0019"/>
    <w:rsid w:val="00BE03C0"/>
    <w:rsid w:val="00BE0A7A"/>
    <w:rsid w:val="00BE0DEC"/>
    <w:rsid w:val="00BE1B5E"/>
    <w:rsid w:val="00BE23C5"/>
    <w:rsid w:val="00BE2669"/>
    <w:rsid w:val="00BE2904"/>
    <w:rsid w:val="00BE3182"/>
    <w:rsid w:val="00BE3402"/>
    <w:rsid w:val="00BE3F55"/>
    <w:rsid w:val="00BE4253"/>
    <w:rsid w:val="00BE4B3C"/>
    <w:rsid w:val="00BE4F09"/>
    <w:rsid w:val="00BE6CBF"/>
    <w:rsid w:val="00BE7686"/>
    <w:rsid w:val="00BE7ADB"/>
    <w:rsid w:val="00BF122D"/>
    <w:rsid w:val="00BF1245"/>
    <w:rsid w:val="00BF14E1"/>
    <w:rsid w:val="00BF376B"/>
    <w:rsid w:val="00BF48A1"/>
    <w:rsid w:val="00BF4BD0"/>
    <w:rsid w:val="00BF4F26"/>
    <w:rsid w:val="00BF5FC0"/>
    <w:rsid w:val="00BF6F73"/>
    <w:rsid w:val="00BF7134"/>
    <w:rsid w:val="00BF7842"/>
    <w:rsid w:val="00C0015B"/>
    <w:rsid w:val="00C00DB1"/>
    <w:rsid w:val="00C00E4B"/>
    <w:rsid w:val="00C011F9"/>
    <w:rsid w:val="00C0287A"/>
    <w:rsid w:val="00C03531"/>
    <w:rsid w:val="00C055F8"/>
    <w:rsid w:val="00C05BCB"/>
    <w:rsid w:val="00C05DEC"/>
    <w:rsid w:val="00C05E94"/>
    <w:rsid w:val="00C05F24"/>
    <w:rsid w:val="00C0663D"/>
    <w:rsid w:val="00C06AA7"/>
    <w:rsid w:val="00C0742B"/>
    <w:rsid w:val="00C075EF"/>
    <w:rsid w:val="00C078C2"/>
    <w:rsid w:val="00C10ED7"/>
    <w:rsid w:val="00C11B09"/>
    <w:rsid w:val="00C12541"/>
    <w:rsid w:val="00C1364C"/>
    <w:rsid w:val="00C137AA"/>
    <w:rsid w:val="00C13AE1"/>
    <w:rsid w:val="00C13F0C"/>
    <w:rsid w:val="00C145B0"/>
    <w:rsid w:val="00C14D55"/>
    <w:rsid w:val="00C152D0"/>
    <w:rsid w:val="00C166E1"/>
    <w:rsid w:val="00C16819"/>
    <w:rsid w:val="00C17C66"/>
    <w:rsid w:val="00C20A04"/>
    <w:rsid w:val="00C21059"/>
    <w:rsid w:val="00C22BEC"/>
    <w:rsid w:val="00C232FB"/>
    <w:rsid w:val="00C23684"/>
    <w:rsid w:val="00C240AF"/>
    <w:rsid w:val="00C24486"/>
    <w:rsid w:val="00C24EC3"/>
    <w:rsid w:val="00C24ED9"/>
    <w:rsid w:val="00C2567D"/>
    <w:rsid w:val="00C263B3"/>
    <w:rsid w:val="00C26753"/>
    <w:rsid w:val="00C26A33"/>
    <w:rsid w:val="00C26BE6"/>
    <w:rsid w:val="00C26C79"/>
    <w:rsid w:val="00C26D83"/>
    <w:rsid w:val="00C27090"/>
    <w:rsid w:val="00C272CC"/>
    <w:rsid w:val="00C27C58"/>
    <w:rsid w:val="00C27E07"/>
    <w:rsid w:val="00C3089D"/>
    <w:rsid w:val="00C30E57"/>
    <w:rsid w:val="00C329B2"/>
    <w:rsid w:val="00C333CA"/>
    <w:rsid w:val="00C33586"/>
    <w:rsid w:val="00C3405E"/>
    <w:rsid w:val="00C34328"/>
    <w:rsid w:val="00C35E97"/>
    <w:rsid w:val="00C36B1C"/>
    <w:rsid w:val="00C3704D"/>
    <w:rsid w:val="00C37B12"/>
    <w:rsid w:val="00C40088"/>
    <w:rsid w:val="00C40353"/>
    <w:rsid w:val="00C403AB"/>
    <w:rsid w:val="00C418A2"/>
    <w:rsid w:val="00C419D7"/>
    <w:rsid w:val="00C42EA4"/>
    <w:rsid w:val="00C43E2C"/>
    <w:rsid w:val="00C4671D"/>
    <w:rsid w:val="00C4674F"/>
    <w:rsid w:val="00C47733"/>
    <w:rsid w:val="00C479B5"/>
    <w:rsid w:val="00C47FE9"/>
    <w:rsid w:val="00C50B1E"/>
    <w:rsid w:val="00C50B42"/>
    <w:rsid w:val="00C526D6"/>
    <w:rsid w:val="00C5367F"/>
    <w:rsid w:val="00C5485C"/>
    <w:rsid w:val="00C550A8"/>
    <w:rsid w:val="00C550F4"/>
    <w:rsid w:val="00C56A56"/>
    <w:rsid w:val="00C60002"/>
    <w:rsid w:val="00C60E73"/>
    <w:rsid w:val="00C61723"/>
    <w:rsid w:val="00C61E32"/>
    <w:rsid w:val="00C623A2"/>
    <w:rsid w:val="00C62AF2"/>
    <w:rsid w:val="00C6357D"/>
    <w:rsid w:val="00C63ABC"/>
    <w:rsid w:val="00C648B6"/>
    <w:rsid w:val="00C6602B"/>
    <w:rsid w:val="00C707E8"/>
    <w:rsid w:val="00C71073"/>
    <w:rsid w:val="00C720BC"/>
    <w:rsid w:val="00C72C91"/>
    <w:rsid w:val="00C730F5"/>
    <w:rsid w:val="00C73C5A"/>
    <w:rsid w:val="00C74ED7"/>
    <w:rsid w:val="00C74F5C"/>
    <w:rsid w:val="00C75465"/>
    <w:rsid w:val="00C76D4E"/>
    <w:rsid w:val="00C77367"/>
    <w:rsid w:val="00C77739"/>
    <w:rsid w:val="00C77CF8"/>
    <w:rsid w:val="00C801D0"/>
    <w:rsid w:val="00C80FD7"/>
    <w:rsid w:val="00C815B9"/>
    <w:rsid w:val="00C819A8"/>
    <w:rsid w:val="00C820FF"/>
    <w:rsid w:val="00C836E0"/>
    <w:rsid w:val="00C84CDC"/>
    <w:rsid w:val="00C86597"/>
    <w:rsid w:val="00C906C0"/>
    <w:rsid w:val="00C91399"/>
    <w:rsid w:val="00C9245C"/>
    <w:rsid w:val="00C92DAB"/>
    <w:rsid w:val="00C93116"/>
    <w:rsid w:val="00C9398F"/>
    <w:rsid w:val="00C94291"/>
    <w:rsid w:val="00C9434E"/>
    <w:rsid w:val="00C94880"/>
    <w:rsid w:val="00C94AE8"/>
    <w:rsid w:val="00C95F72"/>
    <w:rsid w:val="00C96246"/>
    <w:rsid w:val="00C96F49"/>
    <w:rsid w:val="00C9769E"/>
    <w:rsid w:val="00C97B01"/>
    <w:rsid w:val="00C97E04"/>
    <w:rsid w:val="00CA051B"/>
    <w:rsid w:val="00CA151A"/>
    <w:rsid w:val="00CA20AE"/>
    <w:rsid w:val="00CA2B0A"/>
    <w:rsid w:val="00CA3AB9"/>
    <w:rsid w:val="00CA3E14"/>
    <w:rsid w:val="00CA3F9D"/>
    <w:rsid w:val="00CA426D"/>
    <w:rsid w:val="00CA56FB"/>
    <w:rsid w:val="00CA5FFA"/>
    <w:rsid w:val="00CA63B3"/>
    <w:rsid w:val="00CA79DB"/>
    <w:rsid w:val="00CA7C98"/>
    <w:rsid w:val="00CB0EAC"/>
    <w:rsid w:val="00CB29C1"/>
    <w:rsid w:val="00CB414A"/>
    <w:rsid w:val="00CB596B"/>
    <w:rsid w:val="00CB694E"/>
    <w:rsid w:val="00CC015B"/>
    <w:rsid w:val="00CC0D7D"/>
    <w:rsid w:val="00CC1A85"/>
    <w:rsid w:val="00CC2381"/>
    <w:rsid w:val="00CC249B"/>
    <w:rsid w:val="00CC2C7F"/>
    <w:rsid w:val="00CC33A0"/>
    <w:rsid w:val="00CC36C3"/>
    <w:rsid w:val="00CC3CAE"/>
    <w:rsid w:val="00CC3D9E"/>
    <w:rsid w:val="00CC412A"/>
    <w:rsid w:val="00CC421F"/>
    <w:rsid w:val="00CC50C1"/>
    <w:rsid w:val="00CC6061"/>
    <w:rsid w:val="00CC6364"/>
    <w:rsid w:val="00CC76FF"/>
    <w:rsid w:val="00CC7982"/>
    <w:rsid w:val="00CC7FBC"/>
    <w:rsid w:val="00CD07E4"/>
    <w:rsid w:val="00CD0F34"/>
    <w:rsid w:val="00CD10AB"/>
    <w:rsid w:val="00CD154F"/>
    <w:rsid w:val="00CD1717"/>
    <w:rsid w:val="00CD1719"/>
    <w:rsid w:val="00CD1D4B"/>
    <w:rsid w:val="00CD2C2C"/>
    <w:rsid w:val="00CD52CF"/>
    <w:rsid w:val="00CD562C"/>
    <w:rsid w:val="00CD677A"/>
    <w:rsid w:val="00CD68C6"/>
    <w:rsid w:val="00CD6944"/>
    <w:rsid w:val="00CD6A4F"/>
    <w:rsid w:val="00CD6D56"/>
    <w:rsid w:val="00CD701B"/>
    <w:rsid w:val="00CE0A31"/>
    <w:rsid w:val="00CE0C36"/>
    <w:rsid w:val="00CE0C4D"/>
    <w:rsid w:val="00CE1205"/>
    <w:rsid w:val="00CE135E"/>
    <w:rsid w:val="00CE145E"/>
    <w:rsid w:val="00CE2EFE"/>
    <w:rsid w:val="00CE3054"/>
    <w:rsid w:val="00CE365B"/>
    <w:rsid w:val="00CE3753"/>
    <w:rsid w:val="00CE508C"/>
    <w:rsid w:val="00CE523C"/>
    <w:rsid w:val="00CE55A6"/>
    <w:rsid w:val="00CE5833"/>
    <w:rsid w:val="00CE7B59"/>
    <w:rsid w:val="00CE7BF9"/>
    <w:rsid w:val="00CF12EE"/>
    <w:rsid w:val="00CF23C3"/>
    <w:rsid w:val="00CF2499"/>
    <w:rsid w:val="00CF2D3E"/>
    <w:rsid w:val="00CF53AF"/>
    <w:rsid w:val="00CF583D"/>
    <w:rsid w:val="00CF6D3E"/>
    <w:rsid w:val="00CF7B3A"/>
    <w:rsid w:val="00CF7D5F"/>
    <w:rsid w:val="00D002FC"/>
    <w:rsid w:val="00D0166F"/>
    <w:rsid w:val="00D01872"/>
    <w:rsid w:val="00D01C26"/>
    <w:rsid w:val="00D0270B"/>
    <w:rsid w:val="00D036F8"/>
    <w:rsid w:val="00D03F80"/>
    <w:rsid w:val="00D042C9"/>
    <w:rsid w:val="00D047B5"/>
    <w:rsid w:val="00D05390"/>
    <w:rsid w:val="00D05890"/>
    <w:rsid w:val="00D05E47"/>
    <w:rsid w:val="00D0626D"/>
    <w:rsid w:val="00D065A6"/>
    <w:rsid w:val="00D1022A"/>
    <w:rsid w:val="00D11736"/>
    <w:rsid w:val="00D11DE9"/>
    <w:rsid w:val="00D12719"/>
    <w:rsid w:val="00D12FD7"/>
    <w:rsid w:val="00D13060"/>
    <w:rsid w:val="00D13DE9"/>
    <w:rsid w:val="00D14A81"/>
    <w:rsid w:val="00D14F84"/>
    <w:rsid w:val="00D15420"/>
    <w:rsid w:val="00D159F3"/>
    <w:rsid w:val="00D173BC"/>
    <w:rsid w:val="00D214A9"/>
    <w:rsid w:val="00D21860"/>
    <w:rsid w:val="00D218B2"/>
    <w:rsid w:val="00D22C00"/>
    <w:rsid w:val="00D22F20"/>
    <w:rsid w:val="00D23A77"/>
    <w:rsid w:val="00D23ABE"/>
    <w:rsid w:val="00D241D6"/>
    <w:rsid w:val="00D241DC"/>
    <w:rsid w:val="00D24491"/>
    <w:rsid w:val="00D25BEE"/>
    <w:rsid w:val="00D25C6D"/>
    <w:rsid w:val="00D26202"/>
    <w:rsid w:val="00D26BD9"/>
    <w:rsid w:val="00D272F0"/>
    <w:rsid w:val="00D30CAC"/>
    <w:rsid w:val="00D332EC"/>
    <w:rsid w:val="00D3353B"/>
    <w:rsid w:val="00D33A44"/>
    <w:rsid w:val="00D343F3"/>
    <w:rsid w:val="00D34613"/>
    <w:rsid w:val="00D3562A"/>
    <w:rsid w:val="00D35850"/>
    <w:rsid w:val="00D35C7E"/>
    <w:rsid w:val="00D364A5"/>
    <w:rsid w:val="00D36DE8"/>
    <w:rsid w:val="00D3722B"/>
    <w:rsid w:val="00D377F4"/>
    <w:rsid w:val="00D4004D"/>
    <w:rsid w:val="00D40F7B"/>
    <w:rsid w:val="00D4122C"/>
    <w:rsid w:val="00D41A1F"/>
    <w:rsid w:val="00D42826"/>
    <w:rsid w:val="00D44789"/>
    <w:rsid w:val="00D46E36"/>
    <w:rsid w:val="00D47860"/>
    <w:rsid w:val="00D50079"/>
    <w:rsid w:val="00D5007A"/>
    <w:rsid w:val="00D5041D"/>
    <w:rsid w:val="00D50FA0"/>
    <w:rsid w:val="00D51C9B"/>
    <w:rsid w:val="00D520E9"/>
    <w:rsid w:val="00D5231C"/>
    <w:rsid w:val="00D52836"/>
    <w:rsid w:val="00D52C38"/>
    <w:rsid w:val="00D52EA8"/>
    <w:rsid w:val="00D53745"/>
    <w:rsid w:val="00D5407E"/>
    <w:rsid w:val="00D54737"/>
    <w:rsid w:val="00D5526B"/>
    <w:rsid w:val="00D55903"/>
    <w:rsid w:val="00D56A26"/>
    <w:rsid w:val="00D56F29"/>
    <w:rsid w:val="00D57464"/>
    <w:rsid w:val="00D57CAA"/>
    <w:rsid w:val="00D6111B"/>
    <w:rsid w:val="00D61D68"/>
    <w:rsid w:val="00D6205B"/>
    <w:rsid w:val="00D6281F"/>
    <w:rsid w:val="00D647E8"/>
    <w:rsid w:val="00D64844"/>
    <w:rsid w:val="00D64B2C"/>
    <w:rsid w:val="00D654F7"/>
    <w:rsid w:val="00D668F3"/>
    <w:rsid w:val="00D66B78"/>
    <w:rsid w:val="00D6755F"/>
    <w:rsid w:val="00D67C17"/>
    <w:rsid w:val="00D71F52"/>
    <w:rsid w:val="00D72664"/>
    <w:rsid w:val="00D72E62"/>
    <w:rsid w:val="00D73EB6"/>
    <w:rsid w:val="00D73F27"/>
    <w:rsid w:val="00D74B60"/>
    <w:rsid w:val="00D74E56"/>
    <w:rsid w:val="00D74F5D"/>
    <w:rsid w:val="00D7593C"/>
    <w:rsid w:val="00D761B8"/>
    <w:rsid w:val="00D765A3"/>
    <w:rsid w:val="00D7661C"/>
    <w:rsid w:val="00D7667A"/>
    <w:rsid w:val="00D76C44"/>
    <w:rsid w:val="00D76DA4"/>
    <w:rsid w:val="00D80134"/>
    <w:rsid w:val="00D80442"/>
    <w:rsid w:val="00D808C2"/>
    <w:rsid w:val="00D80D4C"/>
    <w:rsid w:val="00D81910"/>
    <w:rsid w:val="00D85528"/>
    <w:rsid w:val="00D861D2"/>
    <w:rsid w:val="00D86CAD"/>
    <w:rsid w:val="00D86E8C"/>
    <w:rsid w:val="00D87E94"/>
    <w:rsid w:val="00D9317D"/>
    <w:rsid w:val="00D93668"/>
    <w:rsid w:val="00D956BC"/>
    <w:rsid w:val="00D95CD7"/>
    <w:rsid w:val="00D97BB0"/>
    <w:rsid w:val="00DA0143"/>
    <w:rsid w:val="00DA0893"/>
    <w:rsid w:val="00DA156D"/>
    <w:rsid w:val="00DA19BF"/>
    <w:rsid w:val="00DA1C2A"/>
    <w:rsid w:val="00DA256A"/>
    <w:rsid w:val="00DA2F39"/>
    <w:rsid w:val="00DA35D5"/>
    <w:rsid w:val="00DA3F78"/>
    <w:rsid w:val="00DA4688"/>
    <w:rsid w:val="00DA493D"/>
    <w:rsid w:val="00DA622D"/>
    <w:rsid w:val="00DA6AA6"/>
    <w:rsid w:val="00DA6F99"/>
    <w:rsid w:val="00DA7723"/>
    <w:rsid w:val="00DB0A07"/>
    <w:rsid w:val="00DB0FBB"/>
    <w:rsid w:val="00DB165A"/>
    <w:rsid w:val="00DB197F"/>
    <w:rsid w:val="00DB2DCA"/>
    <w:rsid w:val="00DB2EC1"/>
    <w:rsid w:val="00DB2EEE"/>
    <w:rsid w:val="00DB3074"/>
    <w:rsid w:val="00DB34AB"/>
    <w:rsid w:val="00DB3F11"/>
    <w:rsid w:val="00DB5C64"/>
    <w:rsid w:val="00DB6644"/>
    <w:rsid w:val="00DB6797"/>
    <w:rsid w:val="00DB71B7"/>
    <w:rsid w:val="00DB7524"/>
    <w:rsid w:val="00DB7BB6"/>
    <w:rsid w:val="00DC0139"/>
    <w:rsid w:val="00DC0B64"/>
    <w:rsid w:val="00DC10C7"/>
    <w:rsid w:val="00DC110D"/>
    <w:rsid w:val="00DC16DF"/>
    <w:rsid w:val="00DC1BB4"/>
    <w:rsid w:val="00DC29C5"/>
    <w:rsid w:val="00DC36F0"/>
    <w:rsid w:val="00DC3ED4"/>
    <w:rsid w:val="00DC4EFA"/>
    <w:rsid w:val="00DC5586"/>
    <w:rsid w:val="00DC7433"/>
    <w:rsid w:val="00DC7AC2"/>
    <w:rsid w:val="00DD07E9"/>
    <w:rsid w:val="00DD08F9"/>
    <w:rsid w:val="00DD0B67"/>
    <w:rsid w:val="00DD5308"/>
    <w:rsid w:val="00DD562B"/>
    <w:rsid w:val="00DD60B9"/>
    <w:rsid w:val="00DD72E3"/>
    <w:rsid w:val="00DE1289"/>
    <w:rsid w:val="00DE15C4"/>
    <w:rsid w:val="00DE25CC"/>
    <w:rsid w:val="00DE31E1"/>
    <w:rsid w:val="00DE39C0"/>
    <w:rsid w:val="00DE3A37"/>
    <w:rsid w:val="00DE432D"/>
    <w:rsid w:val="00DE45C3"/>
    <w:rsid w:val="00DE726D"/>
    <w:rsid w:val="00DE7B7F"/>
    <w:rsid w:val="00DE7E02"/>
    <w:rsid w:val="00DE7E54"/>
    <w:rsid w:val="00DF031B"/>
    <w:rsid w:val="00DF0B22"/>
    <w:rsid w:val="00DF1E07"/>
    <w:rsid w:val="00DF1FC8"/>
    <w:rsid w:val="00DF20DC"/>
    <w:rsid w:val="00DF23DD"/>
    <w:rsid w:val="00DF2E62"/>
    <w:rsid w:val="00DF3374"/>
    <w:rsid w:val="00DF356F"/>
    <w:rsid w:val="00DF3F06"/>
    <w:rsid w:val="00DF4200"/>
    <w:rsid w:val="00DF4864"/>
    <w:rsid w:val="00DF58A0"/>
    <w:rsid w:val="00DF5C74"/>
    <w:rsid w:val="00DF63E0"/>
    <w:rsid w:val="00DF6B12"/>
    <w:rsid w:val="00DF7157"/>
    <w:rsid w:val="00E007F9"/>
    <w:rsid w:val="00E01DC9"/>
    <w:rsid w:val="00E02C25"/>
    <w:rsid w:val="00E02CFD"/>
    <w:rsid w:val="00E03A37"/>
    <w:rsid w:val="00E03A9B"/>
    <w:rsid w:val="00E03EE8"/>
    <w:rsid w:val="00E0405D"/>
    <w:rsid w:val="00E0426D"/>
    <w:rsid w:val="00E05059"/>
    <w:rsid w:val="00E06749"/>
    <w:rsid w:val="00E0712D"/>
    <w:rsid w:val="00E072C3"/>
    <w:rsid w:val="00E07CAF"/>
    <w:rsid w:val="00E07D94"/>
    <w:rsid w:val="00E07E0D"/>
    <w:rsid w:val="00E07F0D"/>
    <w:rsid w:val="00E1020E"/>
    <w:rsid w:val="00E110B0"/>
    <w:rsid w:val="00E110EF"/>
    <w:rsid w:val="00E11B11"/>
    <w:rsid w:val="00E121E1"/>
    <w:rsid w:val="00E12A35"/>
    <w:rsid w:val="00E12E9B"/>
    <w:rsid w:val="00E13AC2"/>
    <w:rsid w:val="00E13D2A"/>
    <w:rsid w:val="00E13F03"/>
    <w:rsid w:val="00E15914"/>
    <w:rsid w:val="00E15F21"/>
    <w:rsid w:val="00E172D5"/>
    <w:rsid w:val="00E22A99"/>
    <w:rsid w:val="00E239D3"/>
    <w:rsid w:val="00E239E8"/>
    <w:rsid w:val="00E23D8D"/>
    <w:rsid w:val="00E2517A"/>
    <w:rsid w:val="00E2567F"/>
    <w:rsid w:val="00E26F2B"/>
    <w:rsid w:val="00E27075"/>
    <w:rsid w:val="00E3328C"/>
    <w:rsid w:val="00E33399"/>
    <w:rsid w:val="00E33675"/>
    <w:rsid w:val="00E337A1"/>
    <w:rsid w:val="00E340CB"/>
    <w:rsid w:val="00E343B0"/>
    <w:rsid w:val="00E347DC"/>
    <w:rsid w:val="00E34D9B"/>
    <w:rsid w:val="00E355EA"/>
    <w:rsid w:val="00E36D3B"/>
    <w:rsid w:val="00E40865"/>
    <w:rsid w:val="00E412E6"/>
    <w:rsid w:val="00E448C9"/>
    <w:rsid w:val="00E45F8D"/>
    <w:rsid w:val="00E47225"/>
    <w:rsid w:val="00E47D19"/>
    <w:rsid w:val="00E47F37"/>
    <w:rsid w:val="00E50ABB"/>
    <w:rsid w:val="00E51092"/>
    <w:rsid w:val="00E517F2"/>
    <w:rsid w:val="00E51C40"/>
    <w:rsid w:val="00E52673"/>
    <w:rsid w:val="00E52B17"/>
    <w:rsid w:val="00E52CF8"/>
    <w:rsid w:val="00E52FB2"/>
    <w:rsid w:val="00E538E2"/>
    <w:rsid w:val="00E53E11"/>
    <w:rsid w:val="00E54276"/>
    <w:rsid w:val="00E5441E"/>
    <w:rsid w:val="00E54A7D"/>
    <w:rsid w:val="00E54CA6"/>
    <w:rsid w:val="00E55BE4"/>
    <w:rsid w:val="00E563A6"/>
    <w:rsid w:val="00E5707E"/>
    <w:rsid w:val="00E5747E"/>
    <w:rsid w:val="00E57C4F"/>
    <w:rsid w:val="00E57F65"/>
    <w:rsid w:val="00E60079"/>
    <w:rsid w:val="00E60869"/>
    <w:rsid w:val="00E60E71"/>
    <w:rsid w:val="00E60F95"/>
    <w:rsid w:val="00E618CA"/>
    <w:rsid w:val="00E61A61"/>
    <w:rsid w:val="00E61E64"/>
    <w:rsid w:val="00E624AB"/>
    <w:rsid w:val="00E625DD"/>
    <w:rsid w:val="00E62D02"/>
    <w:rsid w:val="00E64696"/>
    <w:rsid w:val="00E6499A"/>
    <w:rsid w:val="00E65DDC"/>
    <w:rsid w:val="00E66688"/>
    <w:rsid w:val="00E66B3E"/>
    <w:rsid w:val="00E66DB2"/>
    <w:rsid w:val="00E67003"/>
    <w:rsid w:val="00E6722B"/>
    <w:rsid w:val="00E71C32"/>
    <w:rsid w:val="00E72DB2"/>
    <w:rsid w:val="00E7327A"/>
    <w:rsid w:val="00E743C5"/>
    <w:rsid w:val="00E748FE"/>
    <w:rsid w:val="00E76FD3"/>
    <w:rsid w:val="00E800A3"/>
    <w:rsid w:val="00E8027E"/>
    <w:rsid w:val="00E803FD"/>
    <w:rsid w:val="00E813A9"/>
    <w:rsid w:val="00E81419"/>
    <w:rsid w:val="00E81713"/>
    <w:rsid w:val="00E8183A"/>
    <w:rsid w:val="00E82011"/>
    <w:rsid w:val="00E822C7"/>
    <w:rsid w:val="00E848CC"/>
    <w:rsid w:val="00E849B1"/>
    <w:rsid w:val="00E84AAD"/>
    <w:rsid w:val="00E85033"/>
    <w:rsid w:val="00E85853"/>
    <w:rsid w:val="00E85A1A"/>
    <w:rsid w:val="00E85E10"/>
    <w:rsid w:val="00E86193"/>
    <w:rsid w:val="00E8643F"/>
    <w:rsid w:val="00E87B9F"/>
    <w:rsid w:val="00E87DEA"/>
    <w:rsid w:val="00E9015D"/>
    <w:rsid w:val="00E92720"/>
    <w:rsid w:val="00E929E3"/>
    <w:rsid w:val="00E92FDF"/>
    <w:rsid w:val="00E9390F"/>
    <w:rsid w:val="00E961DE"/>
    <w:rsid w:val="00E97069"/>
    <w:rsid w:val="00E9761A"/>
    <w:rsid w:val="00E97A1A"/>
    <w:rsid w:val="00EA0235"/>
    <w:rsid w:val="00EA060C"/>
    <w:rsid w:val="00EA0F3A"/>
    <w:rsid w:val="00EA1136"/>
    <w:rsid w:val="00EA11CE"/>
    <w:rsid w:val="00EA1725"/>
    <w:rsid w:val="00EA176F"/>
    <w:rsid w:val="00EA2778"/>
    <w:rsid w:val="00EA2AC6"/>
    <w:rsid w:val="00EA2BA5"/>
    <w:rsid w:val="00EA342F"/>
    <w:rsid w:val="00EA4155"/>
    <w:rsid w:val="00EA54A5"/>
    <w:rsid w:val="00EA5E75"/>
    <w:rsid w:val="00EA622E"/>
    <w:rsid w:val="00EA7D3D"/>
    <w:rsid w:val="00EB0887"/>
    <w:rsid w:val="00EB0B41"/>
    <w:rsid w:val="00EB0EDA"/>
    <w:rsid w:val="00EB2A78"/>
    <w:rsid w:val="00EB330B"/>
    <w:rsid w:val="00EB4253"/>
    <w:rsid w:val="00EB4BCD"/>
    <w:rsid w:val="00EB4F0D"/>
    <w:rsid w:val="00EB50D3"/>
    <w:rsid w:val="00EB5A76"/>
    <w:rsid w:val="00EB6A21"/>
    <w:rsid w:val="00EB6CF0"/>
    <w:rsid w:val="00EC08BA"/>
    <w:rsid w:val="00EC0C5B"/>
    <w:rsid w:val="00EC1E47"/>
    <w:rsid w:val="00EC20AB"/>
    <w:rsid w:val="00EC23EF"/>
    <w:rsid w:val="00EC286C"/>
    <w:rsid w:val="00EC3F7C"/>
    <w:rsid w:val="00EC47E9"/>
    <w:rsid w:val="00EC52D1"/>
    <w:rsid w:val="00EC5AEF"/>
    <w:rsid w:val="00EC68EB"/>
    <w:rsid w:val="00EC6B1B"/>
    <w:rsid w:val="00EC6F97"/>
    <w:rsid w:val="00EC70E0"/>
    <w:rsid w:val="00ED046B"/>
    <w:rsid w:val="00ED055A"/>
    <w:rsid w:val="00ED1D79"/>
    <w:rsid w:val="00ED21A8"/>
    <w:rsid w:val="00ED34AD"/>
    <w:rsid w:val="00ED4C77"/>
    <w:rsid w:val="00ED542F"/>
    <w:rsid w:val="00ED563B"/>
    <w:rsid w:val="00ED617A"/>
    <w:rsid w:val="00ED6BFF"/>
    <w:rsid w:val="00ED767E"/>
    <w:rsid w:val="00ED7EF4"/>
    <w:rsid w:val="00EE01C0"/>
    <w:rsid w:val="00EE0402"/>
    <w:rsid w:val="00EE0629"/>
    <w:rsid w:val="00EE063E"/>
    <w:rsid w:val="00EE0756"/>
    <w:rsid w:val="00EE0B00"/>
    <w:rsid w:val="00EE1912"/>
    <w:rsid w:val="00EE2DFC"/>
    <w:rsid w:val="00EE2E20"/>
    <w:rsid w:val="00EE416B"/>
    <w:rsid w:val="00EE63D6"/>
    <w:rsid w:val="00EE7319"/>
    <w:rsid w:val="00EF00C0"/>
    <w:rsid w:val="00EF051C"/>
    <w:rsid w:val="00EF0F3C"/>
    <w:rsid w:val="00EF1070"/>
    <w:rsid w:val="00EF2F3A"/>
    <w:rsid w:val="00EF3B6F"/>
    <w:rsid w:val="00EF6022"/>
    <w:rsid w:val="00EF6531"/>
    <w:rsid w:val="00EF7036"/>
    <w:rsid w:val="00EF744B"/>
    <w:rsid w:val="00EF751B"/>
    <w:rsid w:val="00EF7F1D"/>
    <w:rsid w:val="00EF7FAC"/>
    <w:rsid w:val="00F003F6"/>
    <w:rsid w:val="00F01C29"/>
    <w:rsid w:val="00F0201C"/>
    <w:rsid w:val="00F03A84"/>
    <w:rsid w:val="00F03B80"/>
    <w:rsid w:val="00F0407A"/>
    <w:rsid w:val="00F04C5E"/>
    <w:rsid w:val="00F052CD"/>
    <w:rsid w:val="00F05373"/>
    <w:rsid w:val="00F05472"/>
    <w:rsid w:val="00F05711"/>
    <w:rsid w:val="00F05B59"/>
    <w:rsid w:val="00F05D62"/>
    <w:rsid w:val="00F05E66"/>
    <w:rsid w:val="00F05F45"/>
    <w:rsid w:val="00F0630F"/>
    <w:rsid w:val="00F06FFD"/>
    <w:rsid w:val="00F0715D"/>
    <w:rsid w:val="00F074E0"/>
    <w:rsid w:val="00F1039B"/>
    <w:rsid w:val="00F10C01"/>
    <w:rsid w:val="00F113A2"/>
    <w:rsid w:val="00F11699"/>
    <w:rsid w:val="00F11D65"/>
    <w:rsid w:val="00F11EC7"/>
    <w:rsid w:val="00F120B8"/>
    <w:rsid w:val="00F12211"/>
    <w:rsid w:val="00F12AFA"/>
    <w:rsid w:val="00F138B3"/>
    <w:rsid w:val="00F13A04"/>
    <w:rsid w:val="00F13E06"/>
    <w:rsid w:val="00F1414D"/>
    <w:rsid w:val="00F14426"/>
    <w:rsid w:val="00F14519"/>
    <w:rsid w:val="00F15735"/>
    <w:rsid w:val="00F158E1"/>
    <w:rsid w:val="00F159DE"/>
    <w:rsid w:val="00F1617C"/>
    <w:rsid w:val="00F161A4"/>
    <w:rsid w:val="00F161D1"/>
    <w:rsid w:val="00F1620E"/>
    <w:rsid w:val="00F166FE"/>
    <w:rsid w:val="00F170A4"/>
    <w:rsid w:val="00F173B6"/>
    <w:rsid w:val="00F174F4"/>
    <w:rsid w:val="00F17F10"/>
    <w:rsid w:val="00F20B96"/>
    <w:rsid w:val="00F22718"/>
    <w:rsid w:val="00F22FDD"/>
    <w:rsid w:val="00F23607"/>
    <w:rsid w:val="00F2387C"/>
    <w:rsid w:val="00F240D4"/>
    <w:rsid w:val="00F24F23"/>
    <w:rsid w:val="00F25615"/>
    <w:rsid w:val="00F269EC"/>
    <w:rsid w:val="00F27234"/>
    <w:rsid w:val="00F30840"/>
    <w:rsid w:val="00F31532"/>
    <w:rsid w:val="00F31846"/>
    <w:rsid w:val="00F31F7A"/>
    <w:rsid w:val="00F324B8"/>
    <w:rsid w:val="00F32804"/>
    <w:rsid w:val="00F33416"/>
    <w:rsid w:val="00F35450"/>
    <w:rsid w:val="00F35E83"/>
    <w:rsid w:val="00F36198"/>
    <w:rsid w:val="00F36ABB"/>
    <w:rsid w:val="00F37137"/>
    <w:rsid w:val="00F37F0D"/>
    <w:rsid w:val="00F4000E"/>
    <w:rsid w:val="00F40308"/>
    <w:rsid w:val="00F40E9D"/>
    <w:rsid w:val="00F41163"/>
    <w:rsid w:val="00F43C7F"/>
    <w:rsid w:val="00F44497"/>
    <w:rsid w:val="00F460BC"/>
    <w:rsid w:val="00F46872"/>
    <w:rsid w:val="00F46D8F"/>
    <w:rsid w:val="00F47026"/>
    <w:rsid w:val="00F47803"/>
    <w:rsid w:val="00F47AE4"/>
    <w:rsid w:val="00F50C2E"/>
    <w:rsid w:val="00F51A27"/>
    <w:rsid w:val="00F51CD3"/>
    <w:rsid w:val="00F524AE"/>
    <w:rsid w:val="00F52705"/>
    <w:rsid w:val="00F53107"/>
    <w:rsid w:val="00F53795"/>
    <w:rsid w:val="00F53827"/>
    <w:rsid w:val="00F5515D"/>
    <w:rsid w:val="00F55786"/>
    <w:rsid w:val="00F5608B"/>
    <w:rsid w:val="00F57019"/>
    <w:rsid w:val="00F5728B"/>
    <w:rsid w:val="00F60BA6"/>
    <w:rsid w:val="00F6175D"/>
    <w:rsid w:val="00F619B1"/>
    <w:rsid w:val="00F61EB9"/>
    <w:rsid w:val="00F61EE1"/>
    <w:rsid w:val="00F621D5"/>
    <w:rsid w:val="00F63110"/>
    <w:rsid w:val="00F633BD"/>
    <w:rsid w:val="00F63BBF"/>
    <w:rsid w:val="00F648E3"/>
    <w:rsid w:val="00F64983"/>
    <w:rsid w:val="00F65509"/>
    <w:rsid w:val="00F65B89"/>
    <w:rsid w:val="00F674EA"/>
    <w:rsid w:val="00F70278"/>
    <w:rsid w:val="00F7061A"/>
    <w:rsid w:val="00F71443"/>
    <w:rsid w:val="00F718BA"/>
    <w:rsid w:val="00F7241D"/>
    <w:rsid w:val="00F72A4D"/>
    <w:rsid w:val="00F72BBC"/>
    <w:rsid w:val="00F72FBB"/>
    <w:rsid w:val="00F73779"/>
    <w:rsid w:val="00F73879"/>
    <w:rsid w:val="00F73D2B"/>
    <w:rsid w:val="00F74FF3"/>
    <w:rsid w:val="00F75342"/>
    <w:rsid w:val="00F754C3"/>
    <w:rsid w:val="00F757BD"/>
    <w:rsid w:val="00F75DB8"/>
    <w:rsid w:val="00F76B25"/>
    <w:rsid w:val="00F775C4"/>
    <w:rsid w:val="00F80038"/>
    <w:rsid w:val="00F80195"/>
    <w:rsid w:val="00F80386"/>
    <w:rsid w:val="00F8062D"/>
    <w:rsid w:val="00F8069B"/>
    <w:rsid w:val="00F80885"/>
    <w:rsid w:val="00F816F6"/>
    <w:rsid w:val="00F8185F"/>
    <w:rsid w:val="00F8228A"/>
    <w:rsid w:val="00F829E3"/>
    <w:rsid w:val="00F82ED7"/>
    <w:rsid w:val="00F83D13"/>
    <w:rsid w:val="00F8422B"/>
    <w:rsid w:val="00F8669E"/>
    <w:rsid w:val="00F86FC2"/>
    <w:rsid w:val="00F87493"/>
    <w:rsid w:val="00F9014C"/>
    <w:rsid w:val="00F90FB5"/>
    <w:rsid w:val="00F91485"/>
    <w:rsid w:val="00F916C0"/>
    <w:rsid w:val="00F91AD2"/>
    <w:rsid w:val="00F92268"/>
    <w:rsid w:val="00F9250D"/>
    <w:rsid w:val="00F92FD9"/>
    <w:rsid w:val="00F9308E"/>
    <w:rsid w:val="00F93B51"/>
    <w:rsid w:val="00F94F48"/>
    <w:rsid w:val="00F95FAD"/>
    <w:rsid w:val="00F96476"/>
    <w:rsid w:val="00F96CC0"/>
    <w:rsid w:val="00F973F1"/>
    <w:rsid w:val="00F97501"/>
    <w:rsid w:val="00FA0982"/>
    <w:rsid w:val="00FA0E24"/>
    <w:rsid w:val="00FA12A6"/>
    <w:rsid w:val="00FA25F6"/>
    <w:rsid w:val="00FA280E"/>
    <w:rsid w:val="00FA3D65"/>
    <w:rsid w:val="00FA3FAB"/>
    <w:rsid w:val="00FA4AC0"/>
    <w:rsid w:val="00FA5159"/>
    <w:rsid w:val="00FA55D7"/>
    <w:rsid w:val="00FA5880"/>
    <w:rsid w:val="00FA599B"/>
    <w:rsid w:val="00FA7254"/>
    <w:rsid w:val="00FA73E1"/>
    <w:rsid w:val="00FB1EC8"/>
    <w:rsid w:val="00FB276F"/>
    <w:rsid w:val="00FB2E9D"/>
    <w:rsid w:val="00FB36E1"/>
    <w:rsid w:val="00FB37DD"/>
    <w:rsid w:val="00FB3E07"/>
    <w:rsid w:val="00FB44A8"/>
    <w:rsid w:val="00FB4BFD"/>
    <w:rsid w:val="00FB4C9E"/>
    <w:rsid w:val="00FB4E2B"/>
    <w:rsid w:val="00FB56C0"/>
    <w:rsid w:val="00FB6852"/>
    <w:rsid w:val="00FB6D2C"/>
    <w:rsid w:val="00FB743B"/>
    <w:rsid w:val="00FC04C8"/>
    <w:rsid w:val="00FC0CE0"/>
    <w:rsid w:val="00FC1118"/>
    <w:rsid w:val="00FC49C9"/>
    <w:rsid w:val="00FC4BE6"/>
    <w:rsid w:val="00FC4E7F"/>
    <w:rsid w:val="00FC4EC0"/>
    <w:rsid w:val="00FC5444"/>
    <w:rsid w:val="00FC560A"/>
    <w:rsid w:val="00FC5A8E"/>
    <w:rsid w:val="00FC6108"/>
    <w:rsid w:val="00FC65EB"/>
    <w:rsid w:val="00FD08BB"/>
    <w:rsid w:val="00FD0C68"/>
    <w:rsid w:val="00FD0EA6"/>
    <w:rsid w:val="00FD1D4E"/>
    <w:rsid w:val="00FD2AE1"/>
    <w:rsid w:val="00FD47D8"/>
    <w:rsid w:val="00FD6BC0"/>
    <w:rsid w:val="00FD7396"/>
    <w:rsid w:val="00FD7A19"/>
    <w:rsid w:val="00FD7A5C"/>
    <w:rsid w:val="00FE06D9"/>
    <w:rsid w:val="00FE27C7"/>
    <w:rsid w:val="00FE2C1E"/>
    <w:rsid w:val="00FE2EC1"/>
    <w:rsid w:val="00FE30C5"/>
    <w:rsid w:val="00FE3548"/>
    <w:rsid w:val="00FE3726"/>
    <w:rsid w:val="00FE3841"/>
    <w:rsid w:val="00FE3DC1"/>
    <w:rsid w:val="00FE55A0"/>
    <w:rsid w:val="00FE6599"/>
    <w:rsid w:val="00FE6A5B"/>
    <w:rsid w:val="00FE7187"/>
    <w:rsid w:val="00FF1277"/>
    <w:rsid w:val="00FF1323"/>
    <w:rsid w:val="00FF1F16"/>
    <w:rsid w:val="00FF362A"/>
    <w:rsid w:val="00FF37E1"/>
    <w:rsid w:val="00FF3A25"/>
    <w:rsid w:val="00FF3F0D"/>
    <w:rsid w:val="00FF43BB"/>
    <w:rsid w:val="00FF4B2E"/>
    <w:rsid w:val="00FF4FB3"/>
    <w:rsid w:val="00FF5AAF"/>
    <w:rsid w:val="00FF5F1C"/>
    <w:rsid w:val="00FF5FF6"/>
    <w:rsid w:val="00FF6657"/>
    <w:rsid w:val="00FF69BD"/>
    <w:rsid w:val="00FF7192"/>
    <w:rsid w:val="00FF7586"/>
    <w:rsid w:val="00FF75E6"/>
    <w:rsid w:val="00FF76B0"/>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6E1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622"/>
    <w:pPr>
      <w:spacing w:after="200" w:line="276" w:lineRule="auto"/>
    </w:pPr>
    <w:rPr>
      <w:sz w:val="22"/>
      <w:szCs w:val="22"/>
    </w:rPr>
  </w:style>
  <w:style w:type="paragraph" w:styleId="Heading1">
    <w:name w:val="heading 1"/>
    <w:basedOn w:val="Normal"/>
    <w:next w:val="Normal"/>
    <w:link w:val="Heading1Char"/>
    <w:uiPriority w:val="9"/>
    <w:qFormat/>
    <w:rsid w:val="00B103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qFormat/>
    <w:rsid w:val="00DE15C4"/>
    <w:pPr>
      <w:spacing w:after="180"/>
      <w:outlineLvl w:val="1"/>
    </w:pPr>
    <w:rPr>
      <w:rFonts w:ascii="Franklin Gothic Heavy" w:eastAsia="Times New Roman" w:hAnsi="Franklin Gothic Heavy"/>
      <w:color w:val="000066"/>
      <w:kern w:val="28"/>
      <w:sz w:val="28"/>
      <w:szCs w:val="28"/>
    </w:rPr>
  </w:style>
  <w:style w:type="paragraph" w:styleId="Heading3">
    <w:name w:val="heading 3"/>
    <w:basedOn w:val="Normal"/>
    <w:next w:val="Normal"/>
    <w:link w:val="Heading3Char"/>
    <w:qFormat/>
    <w:rsid w:val="003D6097"/>
    <w:pPr>
      <w:keepNext/>
      <w:spacing w:before="240" w:after="60" w:line="300" w:lineRule="auto"/>
      <w:outlineLvl w:val="2"/>
    </w:pPr>
    <w:rPr>
      <w:rFonts w:ascii="Arial" w:eastAsia="Times New Roman" w:hAnsi="Arial"/>
      <w:b/>
      <w:bCs/>
      <w:color w:val="000000"/>
      <w:kern w:val="28"/>
      <w:sz w:val="26"/>
      <w:szCs w:val="26"/>
    </w:rPr>
  </w:style>
  <w:style w:type="paragraph" w:styleId="Heading4">
    <w:name w:val="heading 4"/>
    <w:basedOn w:val="Normal"/>
    <w:next w:val="Normal"/>
    <w:link w:val="Heading4Char"/>
    <w:uiPriority w:val="9"/>
    <w:unhideWhenUsed/>
    <w:qFormat/>
    <w:rsid w:val="00705C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E15C4"/>
    <w:rPr>
      <w:rFonts w:ascii="Franklin Gothic Heavy" w:eastAsia="Times New Roman" w:hAnsi="Franklin Gothic Heavy"/>
      <w:color w:val="000066"/>
      <w:kern w:val="28"/>
      <w:sz w:val="28"/>
      <w:szCs w:val="28"/>
      <w:lang w:val="bg-BG" w:eastAsia="bg-BG" w:bidi="ar-SA"/>
    </w:rPr>
  </w:style>
  <w:style w:type="paragraph" w:styleId="BalloonText">
    <w:name w:val="Balloon Text"/>
    <w:basedOn w:val="Normal"/>
    <w:link w:val="BalloonTextChar"/>
    <w:unhideWhenUsed/>
    <w:rsid w:val="00DE15C4"/>
    <w:pPr>
      <w:spacing w:after="0" w:line="240" w:lineRule="auto"/>
    </w:pPr>
    <w:rPr>
      <w:rFonts w:ascii="Tahoma" w:hAnsi="Tahoma"/>
      <w:sz w:val="16"/>
      <w:szCs w:val="16"/>
    </w:rPr>
  </w:style>
  <w:style w:type="character" w:customStyle="1" w:styleId="BalloonTextChar">
    <w:name w:val="Balloon Text Char"/>
    <w:link w:val="BalloonText"/>
    <w:rsid w:val="00DE15C4"/>
    <w:rPr>
      <w:rFonts w:ascii="Tahoma" w:hAnsi="Tahoma" w:cs="Tahoma"/>
      <w:sz w:val="16"/>
      <w:szCs w:val="16"/>
    </w:rPr>
  </w:style>
  <w:style w:type="numbering" w:customStyle="1" w:styleId="NoList1">
    <w:name w:val="No List1"/>
    <w:next w:val="NoList"/>
    <w:uiPriority w:val="99"/>
    <w:semiHidden/>
    <w:unhideWhenUsed/>
    <w:rsid w:val="00DE15C4"/>
  </w:style>
  <w:style w:type="paragraph" w:styleId="Title">
    <w:name w:val="Title"/>
    <w:basedOn w:val="Normal"/>
    <w:link w:val="TitleChar"/>
    <w:qFormat/>
    <w:rsid w:val="00DE15C4"/>
    <w:pPr>
      <w:pBdr>
        <w:bottom w:val="single" w:sz="8" w:space="4" w:color="4F81BD"/>
      </w:pBdr>
      <w:suppressAutoHyphens/>
      <w:autoSpaceDN w:val="0"/>
      <w:spacing w:after="160" w:line="240" w:lineRule="auto"/>
      <w:jc w:val="center"/>
      <w:textAlignment w:val="baseline"/>
    </w:pPr>
    <w:rPr>
      <w:rFonts w:ascii="Cambria" w:eastAsia="Calibri" w:hAnsi="Cambria"/>
      <w:b/>
      <w:smallCaps/>
      <w:color w:val="4F81BD"/>
      <w:sz w:val="48"/>
      <w:szCs w:val="48"/>
    </w:rPr>
  </w:style>
  <w:style w:type="character" w:customStyle="1" w:styleId="TitleChar">
    <w:name w:val="Title Char"/>
    <w:link w:val="Title"/>
    <w:rsid w:val="00DE15C4"/>
    <w:rPr>
      <w:rFonts w:ascii="Cambria" w:eastAsia="Calibri" w:hAnsi="Cambria" w:cs="Times New Roman"/>
      <w:b/>
      <w:smallCaps/>
      <w:color w:val="4F81BD"/>
      <w:sz w:val="48"/>
      <w:szCs w:val="48"/>
    </w:rPr>
  </w:style>
  <w:style w:type="paragraph" w:styleId="Subtitle">
    <w:name w:val="Subtitle"/>
    <w:basedOn w:val="Normal"/>
    <w:link w:val="SubtitleChar"/>
    <w:qFormat/>
    <w:rsid w:val="00DE15C4"/>
    <w:pPr>
      <w:suppressAutoHyphens/>
      <w:autoSpaceDN w:val="0"/>
      <w:spacing w:after="480" w:line="240" w:lineRule="auto"/>
      <w:jc w:val="center"/>
      <w:textAlignment w:val="baseline"/>
    </w:pPr>
    <w:rPr>
      <w:rFonts w:ascii="Cambria" w:eastAsia="Calibri" w:hAnsi="Cambria"/>
      <w:color w:val="000000"/>
      <w:sz w:val="28"/>
      <w:szCs w:val="24"/>
    </w:rPr>
  </w:style>
  <w:style w:type="character" w:customStyle="1" w:styleId="SubtitleChar">
    <w:name w:val="Subtitle Char"/>
    <w:link w:val="Subtitle"/>
    <w:rsid w:val="00DE15C4"/>
    <w:rPr>
      <w:rFonts w:ascii="Cambria" w:eastAsia="Calibri" w:hAnsi="Cambria" w:cs="Calibri"/>
      <w:color w:val="000000"/>
      <w:sz w:val="28"/>
      <w:szCs w:val="24"/>
    </w:rPr>
  </w:style>
  <w:style w:type="paragraph" w:styleId="Footer">
    <w:name w:val="footer"/>
    <w:basedOn w:val="Normal"/>
    <w:link w:val="FooterChar"/>
    <w:uiPriority w:val="99"/>
    <w:rsid w:val="00DE15C4"/>
    <w:pPr>
      <w:tabs>
        <w:tab w:val="center" w:pos="4320"/>
        <w:tab w:val="right" w:pos="8640"/>
      </w:tabs>
      <w:suppressAutoHyphens/>
      <w:autoSpaceDN w:val="0"/>
      <w:spacing w:after="160"/>
      <w:textAlignment w:val="baseline"/>
    </w:pPr>
    <w:rPr>
      <w:rFonts w:eastAsia="Calibri"/>
      <w:color w:val="000000"/>
      <w:sz w:val="20"/>
      <w:szCs w:val="20"/>
    </w:rPr>
  </w:style>
  <w:style w:type="character" w:customStyle="1" w:styleId="FooterChar">
    <w:name w:val="Footer Char"/>
    <w:link w:val="Footer"/>
    <w:uiPriority w:val="99"/>
    <w:rsid w:val="00DE15C4"/>
    <w:rPr>
      <w:rFonts w:ascii="Calibri" w:eastAsia="Calibri" w:hAnsi="Calibri" w:cs="Times New Roman"/>
      <w:color w:val="000000"/>
      <w:szCs w:val="20"/>
    </w:rPr>
  </w:style>
  <w:style w:type="paragraph" w:styleId="Caption">
    <w:name w:val="caption"/>
    <w:basedOn w:val="Normal"/>
    <w:next w:val="Normal"/>
    <w:qFormat/>
    <w:rsid w:val="00DE15C4"/>
    <w:pPr>
      <w:suppressAutoHyphens/>
      <w:autoSpaceDN w:val="0"/>
      <w:spacing w:after="0" w:line="240" w:lineRule="auto"/>
      <w:textAlignment w:val="baseline"/>
    </w:pPr>
    <w:rPr>
      <w:rFonts w:eastAsia="Calibri"/>
      <w:bCs/>
      <w:smallCaps/>
      <w:color w:val="C0504D"/>
      <w:spacing w:val="10"/>
      <w:sz w:val="18"/>
      <w:szCs w:val="18"/>
    </w:rPr>
  </w:style>
  <w:style w:type="paragraph" w:styleId="NoSpacing">
    <w:name w:val="No Spacing"/>
    <w:basedOn w:val="Normal"/>
    <w:rsid w:val="00DE15C4"/>
    <w:pPr>
      <w:suppressAutoHyphens/>
      <w:autoSpaceDN w:val="0"/>
      <w:spacing w:after="0" w:line="240" w:lineRule="auto"/>
      <w:textAlignment w:val="baseline"/>
    </w:pPr>
    <w:rPr>
      <w:rFonts w:eastAsia="Calibri"/>
      <w:color w:val="000000"/>
      <w:szCs w:val="20"/>
    </w:rPr>
  </w:style>
  <w:style w:type="paragraph" w:styleId="ListParagraph">
    <w:name w:val="List Paragraph"/>
    <w:basedOn w:val="Normal"/>
    <w:qFormat/>
    <w:rsid w:val="00DE15C4"/>
    <w:pPr>
      <w:suppressAutoHyphens/>
      <w:autoSpaceDN w:val="0"/>
      <w:ind w:left="720"/>
      <w:textAlignment w:val="baseline"/>
    </w:pPr>
    <w:rPr>
      <w:rFonts w:eastAsia="Calibri"/>
    </w:rPr>
  </w:style>
  <w:style w:type="paragraph" w:styleId="Header">
    <w:name w:val="header"/>
    <w:basedOn w:val="Normal"/>
    <w:link w:val="HeaderChar"/>
    <w:uiPriority w:val="99"/>
    <w:rsid w:val="00DE15C4"/>
    <w:pPr>
      <w:tabs>
        <w:tab w:val="center" w:pos="4703"/>
        <w:tab w:val="right" w:pos="9406"/>
      </w:tabs>
      <w:suppressAutoHyphens/>
      <w:autoSpaceDN w:val="0"/>
      <w:spacing w:after="0" w:line="240" w:lineRule="auto"/>
      <w:textAlignment w:val="baseline"/>
    </w:pPr>
    <w:rPr>
      <w:rFonts w:eastAsia="Calibri"/>
      <w:sz w:val="20"/>
      <w:szCs w:val="20"/>
    </w:rPr>
  </w:style>
  <w:style w:type="character" w:customStyle="1" w:styleId="HeaderChar">
    <w:name w:val="Header Char"/>
    <w:link w:val="Header"/>
    <w:uiPriority w:val="99"/>
    <w:rsid w:val="00DE15C4"/>
    <w:rPr>
      <w:rFonts w:ascii="Calibri" w:eastAsia="Calibri" w:hAnsi="Calibri" w:cs="Times New Roman"/>
    </w:rPr>
  </w:style>
  <w:style w:type="paragraph" w:customStyle="1" w:styleId="D345FF3D873148C5AE3FBF3267827368">
    <w:name w:val="D345FF3D873148C5AE3FBF3267827368"/>
    <w:rsid w:val="00DE15C4"/>
    <w:pPr>
      <w:suppressAutoHyphens/>
      <w:autoSpaceDN w:val="0"/>
      <w:spacing w:after="200" w:line="276" w:lineRule="auto"/>
      <w:textAlignment w:val="baseline"/>
    </w:pPr>
    <w:rPr>
      <w:rFonts w:eastAsia="Times New Roman"/>
      <w:sz w:val="22"/>
      <w:szCs w:val="22"/>
      <w:lang w:eastAsia="ja-JP"/>
    </w:rPr>
  </w:style>
  <w:style w:type="paragraph" w:customStyle="1" w:styleId="HeaderEven">
    <w:name w:val="Header Even"/>
    <w:basedOn w:val="NoSpacing"/>
    <w:rsid w:val="00DE15C4"/>
    <w:pPr>
      <w:pBdr>
        <w:bottom w:val="single" w:sz="4" w:space="1" w:color="4F81BD"/>
      </w:pBdr>
    </w:pPr>
    <w:rPr>
      <w:b/>
      <w:color w:val="1F497D"/>
      <w:sz w:val="20"/>
      <w:lang w:eastAsia="ja-JP"/>
    </w:rPr>
  </w:style>
  <w:style w:type="paragraph" w:customStyle="1" w:styleId="Char">
    <w:name w:val="Char"/>
    <w:basedOn w:val="Normal"/>
    <w:rsid w:val="00DE15C4"/>
    <w:pPr>
      <w:spacing w:before="120" w:after="160" w:line="240" w:lineRule="exact"/>
    </w:pPr>
    <w:rPr>
      <w:rFonts w:ascii="Tahoma" w:eastAsia="Times New Roman" w:hAnsi="Tahoma"/>
      <w:sz w:val="20"/>
      <w:szCs w:val="20"/>
    </w:rPr>
  </w:style>
  <w:style w:type="paragraph" w:styleId="BodyText3">
    <w:name w:val="Body Text 3"/>
    <w:link w:val="BodyText3Char"/>
    <w:rsid w:val="00DE15C4"/>
    <w:pPr>
      <w:spacing w:after="180" w:line="300" w:lineRule="auto"/>
    </w:pPr>
    <w:rPr>
      <w:rFonts w:ascii="Times New Roman" w:eastAsia="Times New Roman" w:hAnsi="Times New Roman"/>
      <w:color w:val="000000"/>
      <w:kern w:val="28"/>
      <w:sz w:val="18"/>
      <w:szCs w:val="18"/>
    </w:rPr>
  </w:style>
  <w:style w:type="character" w:customStyle="1" w:styleId="BodyText3Char">
    <w:name w:val="Body Text 3 Char"/>
    <w:link w:val="BodyText3"/>
    <w:rsid w:val="00DE15C4"/>
    <w:rPr>
      <w:rFonts w:ascii="Times New Roman" w:eastAsia="Times New Roman" w:hAnsi="Times New Roman"/>
      <w:color w:val="000000"/>
      <w:kern w:val="28"/>
      <w:sz w:val="18"/>
      <w:szCs w:val="18"/>
      <w:lang w:val="bg-BG" w:eastAsia="bg-BG" w:bidi="ar-SA"/>
    </w:rPr>
  </w:style>
  <w:style w:type="paragraph" w:customStyle="1" w:styleId="Char1">
    <w:name w:val="Char1"/>
    <w:basedOn w:val="Normal"/>
    <w:rsid w:val="00DE15C4"/>
    <w:pPr>
      <w:spacing w:before="120" w:after="160" w:line="240" w:lineRule="exact"/>
    </w:pPr>
    <w:rPr>
      <w:rFonts w:ascii="Tahoma" w:eastAsia="Times New Roman" w:hAnsi="Tahoma"/>
      <w:sz w:val="20"/>
      <w:szCs w:val="20"/>
    </w:rPr>
  </w:style>
  <w:style w:type="paragraph" w:styleId="EndnoteText">
    <w:name w:val="endnote text"/>
    <w:basedOn w:val="Normal"/>
    <w:link w:val="EndnoteTextChar"/>
    <w:uiPriority w:val="99"/>
    <w:semiHidden/>
    <w:unhideWhenUsed/>
    <w:rsid w:val="00DE15C4"/>
    <w:pPr>
      <w:spacing w:after="0" w:line="240" w:lineRule="auto"/>
    </w:pPr>
    <w:rPr>
      <w:sz w:val="20"/>
      <w:szCs w:val="20"/>
    </w:rPr>
  </w:style>
  <w:style w:type="character" w:customStyle="1" w:styleId="EndnoteTextChar">
    <w:name w:val="Endnote Text Char"/>
    <w:link w:val="EndnoteText"/>
    <w:uiPriority w:val="99"/>
    <w:semiHidden/>
    <w:rsid w:val="00DE15C4"/>
    <w:rPr>
      <w:sz w:val="20"/>
      <w:szCs w:val="20"/>
    </w:rPr>
  </w:style>
  <w:style w:type="character" w:styleId="EndnoteReference">
    <w:name w:val="endnote reference"/>
    <w:uiPriority w:val="99"/>
    <w:semiHidden/>
    <w:unhideWhenUsed/>
    <w:rsid w:val="00DE15C4"/>
    <w:rPr>
      <w:vertAlign w:val="superscript"/>
    </w:rPr>
  </w:style>
  <w:style w:type="paragraph" w:styleId="FootnoteText">
    <w:name w:val="footnote text"/>
    <w:basedOn w:val="Normal"/>
    <w:link w:val="FootnoteTextChar"/>
    <w:uiPriority w:val="99"/>
    <w:unhideWhenUsed/>
    <w:rsid w:val="00DE15C4"/>
    <w:pPr>
      <w:spacing w:after="0" w:line="240" w:lineRule="auto"/>
    </w:pPr>
    <w:rPr>
      <w:sz w:val="20"/>
      <w:szCs w:val="20"/>
    </w:rPr>
  </w:style>
  <w:style w:type="character" w:customStyle="1" w:styleId="FootnoteTextChar">
    <w:name w:val="Footnote Text Char"/>
    <w:link w:val="FootnoteText"/>
    <w:uiPriority w:val="99"/>
    <w:rsid w:val="00DE15C4"/>
    <w:rPr>
      <w:sz w:val="20"/>
      <w:szCs w:val="20"/>
    </w:rPr>
  </w:style>
  <w:style w:type="character" w:styleId="FootnoteReference">
    <w:name w:val="footnote reference"/>
    <w:uiPriority w:val="99"/>
    <w:semiHidden/>
    <w:unhideWhenUsed/>
    <w:rsid w:val="00DE15C4"/>
    <w:rPr>
      <w:vertAlign w:val="superscript"/>
    </w:rPr>
  </w:style>
  <w:style w:type="character" w:customStyle="1" w:styleId="Heading3Char">
    <w:name w:val="Heading 3 Char"/>
    <w:link w:val="Heading3"/>
    <w:rsid w:val="003D6097"/>
    <w:rPr>
      <w:rFonts w:ascii="Arial" w:eastAsia="Times New Roman" w:hAnsi="Arial" w:cs="Arial"/>
      <w:b/>
      <w:bCs/>
      <w:color w:val="000000"/>
      <w:kern w:val="28"/>
      <w:sz w:val="26"/>
      <w:szCs w:val="26"/>
      <w:lang w:val="bg-BG" w:eastAsia="bg-BG"/>
    </w:rPr>
  </w:style>
  <w:style w:type="paragraph" w:styleId="HTMLPreformatted">
    <w:name w:val="HTML Preformatted"/>
    <w:basedOn w:val="Normal"/>
    <w:link w:val="HTMLPreformattedChar"/>
    <w:rsid w:val="00F8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F8069B"/>
    <w:rPr>
      <w:rFonts w:ascii="Courier New" w:eastAsia="Times New Roman" w:hAnsi="Courier New" w:cs="Courier New"/>
      <w:sz w:val="20"/>
      <w:szCs w:val="20"/>
      <w:lang w:val="bg-BG" w:eastAsia="bg-BG"/>
    </w:rPr>
  </w:style>
  <w:style w:type="character" w:styleId="CommentReference">
    <w:name w:val="annotation reference"/>
    <w:uiPriority w:val="99"/>
    <w:semiHidden/>
    <w:unhideWhenUsed/>
    <w:rsid w:val="00022FCD"/>
    <w:rPr>
      <w:sz w:val="16"/>
      <w:szCs w:val="16"/>
    </w:rPr>
  </w:style>
  <w:style w:type="paragraph" w:styleId="CommentText">
    <w:name w:val="annotation text"/>
    <w:basedOn w:val="Normal"/>
    <w:link w:val="CommentTextChar"/>
    <w:uiPriority w:val="99"/>
    <w:semiHidden/>
    <w:unhideWhenUsed/>
    <w:rsid w:val="00022FCD"/>
    <w:pPr>
      <w:spacing w:line="240" w:lineRule="auto"/>
    </w:pPr>
    <w:rPr>
      <w:sz w:val="20"/>
      <w:szCs w:val="20"/>
    </w:rPr>
  </w:style>
  <w:style w:type="character" w:customStyle="1" w:styleId="CommentTextChar">
    <w:name w:val="Comment Text Char"/>
    <w:link w:val="CommentText"/>
    <w:uiPriority w:val="99"/>
    <w:semiHidden/>
    <w:rsid w:val="00022FCD"/>
    <w:rPr>
      <w:sz w:val="20"/>
      <w:szCs w:val="20"/>
    </w:rPr>
  </w:style>
  <w:style w:type="paragraph" w:styleId="CommentSubject">
    <w:name w:val="annotation subject"/>
    <w:basedOn w:val="CommentText"/>
    <w:next w:val="CommentText"/>
    <w:link w:val="CommentSubjectChar"/>
    <w:uiPriority w:val="99"/>
    <w:semiHidden/>
    <w:unhideWhenUsed/>
    <w:rsid w:val="00022FCD"/>
    <w:rPr>
      <w:b/>
      <w:bCs/>
    </w:rPr>
  </w:style>
  <w:style w:type="character" w:customStyle="1" w:styleId="CommentSubjectChar">
    <w:name w:val="Comment Subject Char"/>
    <w:link w:val="CommentSubject"/>
    <w:uiPriority w:val="99"/>
    <w:semiHidden/>
    <w:rsid w:val="00022FCD"/>
    <w:rPr>
      <w:b/>
      <w:bCs/>
      <w:sz w:val="20"/>
      <w:szCs w:val="20"/>
    </w:rPr>
  </w:style>
  <w:style w:type="paragraph" w:styleId="Revision">
    <w:name w:val="Revision"/>
    <w:hidden/>
    <w:uiPriority w:val="99"/>
    <w:rsid w:val="00385243"/>
    <w:rPr>
      <w:sz w:val="22"/>
      <w:szCs w:val="22"/>
    </w:rPr>
  </w:style>
  <w:style w:type="numbering" w:customStyle="1" w:styleId="NoList2">
    <w:name w:val="No List2"/>
    <w:next w:val="NoList"/>
    <w:uiPriority w:val="99"/>
    <w:semiHidden/>
    <w:unhideWhenUsed/>
    <w:rsid w:val="00CA426D"/>
  </w:style>
  <w:style w:type="numbering" w:customStyle="1" w:styleId="NoList11">
    <w:name w:val="No List11"/>
    <w:next w:val="NoList"/>
    <w:uiPriority w:val="99"/>
    <w:semiHidden/>
    <w:unhideWhenUsed/>
    <w:rsid w:val="00CA426D"/>
  </w:style>
  <w:style w:type="paragraph" w:customStyle="1" w:styleId="NoSpacing1">
    <w:name w:val="No Spacing1"/>
    <w:basedOn w:val="Normal"/>
    <w:rsid w:val="00CA426D"/>
    <w:pPr>
      <w:suppressAutoHyphens/>
      <w:autoSpaceDN w:val="0"/>
      <w:spacing w:after="0" w:line="240" w:lineRule="auto"/>
      <w:textAlignment w:val="baseline"/>
    </w:pPr>
    <w:rPr>
      <w:rFonts w:eastAsia="Calibri"/>
      <w:color w:val="000000"/>
      <w:sz w:val="24"/>
      <w:szCs w:val="20"/>
    </w:rPr>
  </w:style>
  <w:style w:type="paragraph" w:customStyle="1" w:styleId="ColorfulList-Accent11">
    <w:name w:val="Colorful List - Accent 11"/>
    <w:basedOn w:val="Normal"/>
    <w:rsid w:val="00CA426D"/>
    <w:pPr>
      <w:suppressAutoHyphens/>
      <w:autoSpaceDN w:val="0"/>
      <w:spacing w:after="0" w:line="240" w:lineRule="atLeast"/>
      <w:ind w:left="720"/>
      <w:textAlignment w:val="baseline"/>
    </w:pPr>
    <w:rPr>
      <w:rFonts w:eastAsia="Calibri"/>
      <w:sz w:val="24"/>
      <w:szCs w:val="24"/>
    </w:rPr>
  </w:style>
  <w:style w:type="paragraph" w:styleId="BodyText">
    <w:name w:val="Body Text"/>
    <w:basedOn w:val="Normal"/>
    <w:link w:val="BodyTextChar1"/>
    <w:rsid w:val="00CA426D"/>
    <w:pPr>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uiPriority w:val="99"/>
    <w:semiHidden/>
    <w:rsid w:val="00CA426D"/>
  </w:style>
  <w:style w:type="character" w:customStyle="1" w:styleId="BodyTextChar1">
    <w:name w:val="Body Text Char1"/>
    <w:link w:val="BodyText"/>
    <w:rsid w:val="00CA426D"/>
    <w:rPr>
      <w:rFonts w:ascii="Times New Roman" w:eastAsia="Times New Roman" w:hAnsi="Times New Roman" w:cs="Times New Roman"/>
      <w:sz w:val="20"/>
      <w:szCs w:val="20"/>
      <w:lang w:val="bg-BG" w:eastAsia="bg-BG"/>
    </w:rPr>
  </w:style>
  <w:style w:type="paragraph" w:styleId="BodyText2">
    <w:name w:val="Body Text 2"/>
    <w:basedOn w:val="Normal"/>
    <w:link w:val="BodyText2Char"/>
    <w:uiPriority w:val="99"/>
    <w:semiHidden/>
    <w:unhideWhenUsed/>
    <w:rsid w:val="00CA426D"/>
    <w:pPr>
      <w:spacing w:after="120" w:line="480" w:lineRule="auto"/>
    </w:pPr>
    <w:rPr>
      <w:rFonts w:eastAsia="Calibri"/>
      <w:sz w:val="24"/>
      <w:szCs w:val="24"/>
    </w:rPr>
  </w:style>
  <w:style w:type="character" w:customStyle="1" w:styleId="BodyText2Char">
    <w:name w:val="Body Text 2 Char"/>
    <w:link w:val="BodyText2"/>
    <w:uiPriority w:val="99"/>
    <w:semiHidden/>
    <w:rsid w:val="00CA426D"/>
    <w:rPr>
      <w:rFonts w:ascii="Calibri" w:eastAsia="Calibri" w:hAnsi="Calibri" w:cs="Times New Roman"/>
      <w:sz w:val="24"/>
      <w:szCs w:val="24"/>
      <w:lang w:val="bg-BG" w:eastAsia="bg-BG"/>
    </w:rPr>
  </w:style>
  <w:style w:type="table" w:customStyle="1" w:styleId="MediumShading1-Accent11">
    <w:name w:val="Medium Shading 1 - Accent 11"/>
    <w:basedOn w:val="TableNormal"/>
    <w:uiPriority w:val="68"/>
    <w:rsid w:val="00CA426D"/>
    <w:rPr>
      <w:rFonts w:eastAsia="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har4">
    <w:name w:val="Char4"/>
    <w:basedOn w:val="Normal"/>
    <w:rsid w:val="0063319E"/>
    <w:pPr>
      <w:spacing w:before="120" w:after="160" w:line="240" w:lineRule="exact"/>
    </w:pPr>
    <w:rPr>
      <w:rFonts w:ascii="Tahoma" w:eastAsia="Times New Roman" w:hAnsi="Tahoma"/>
      <w:sz w:val="20"/>
      <w:szCs w:val="20"/>
    </w:rPr>
  </w:style>
  <w:style w:type="paragraph" w:customStyle="1" w:styleId="Char3">
    <w:name w:val="Char3"/>
    <w:basedOn w:val="Normal"/>
    <w:rsid w:val="003F023E"/>
    <w:pPr>
      <w:spacing w:before="120" w:after="160" w:line="240" w:lineRule="exact"/>
    </w:pPr>
    <w:rPr>
      <w:rFonts w:ascii="Tahoma" w:eastAsia="Times New Roman" w:hAnsi="Tahoma"/>
      <w:sz w:val="20"/>
      <w:szCs w:val="20"/>
    </w:rPr>
  </w:style>
  <w:style w:type="paragraph" w:styleId="NormalWeb">
    <w:name w:val="Normal (Web)"/>
    <w:basedOn w:val="Normal"/>
    <w:uiPriority w:val="99"/>
    <w:unhideWhenUsed/>
    <w:rsid w:val="008D78A1"/>
    <w:pPr>
      <w:spacing w:before="100" w:beforeAutospacing="1" w:after="100" w:afterAutospacing="1" w:line="240" w:lineRule="auto"/>
    </w:pPr>
    <w:rPr>
      <w:rFonts w:ascii="Times" w:hAnsi="Times"/>
      <w:sz w:val="20"/>
      <w:szCs w:val="20"/>
    </w:rPr>
  </w:style>
  <w:style w:type="paragraph" w:customStyle="1" w:styleId="AFA">
    <w:name w:val="AFA"/>
    <w:basedOn w:val="Normal"/>
    <w:rsid w:val="00335E38"/>
    <w:pPr>
      <w:suppressLineNumbers/>
      <w:tabs>
        <w:tab w:val="left" w:pos="709"/>
      </w:tabs>
      <w:suppressAutoHyphens/>
      <w:spacing w:before="120" w:after="120" w:line="312" w:lineRule="auto"/>
      <w:ind w:firstLine="709"/>
      <w:jc w:val="both"/>
    </w:pPr>
    <w:rPr>
      <w:rFonts w:ascii="Times New Roman" w:eastAsia="Times New Roman" w:hAnsi="Times New Roman"/>
    </w:rPr>
  </w:style>
  <w:style w:type="paragraph" w:customStyle="1" w:styleId="CharCharCharChar">
    <w:name w:val="Char Char Char Char"/>
    <w:basedOn w:val="Normal"/>
    <w:rsid w:val="00D35850"/>
    <w:pPr>
      <w:spacing w:before="120" w:after="160" w:line="240" w:lineRule="exact"/>
    </w:pPr>
    <w:rPr>
      <w:rFonts w:ascii="Tahoma" w:eastAsia="Times New Roman" w:hAnsi="Tahoma"/>
      <w:sz w:val="20"/>
      <w:szCs w:val="20"/>
      <w:lang w:val="en-US"/>
    </w:rPr>
  </w:style>
  <w:style w:type="paragraph" w:customStyle="1" w:styleId="Char2">
    <w:name w:val="Char2"/>
    <w:basedOn w:val="Normal"/>
    <w:rsid w:val="000E3528"/>
    <w:pPr>
      <w:spacing w:before="120" w:after="160" w:line="240" w:lineRule="exact"/>
    </w:pPr>
    <w:rPr>
      <w:rFonts w:ascii="Tahoma" w:eastAsia="Times New Roman" w:hAnsi="Tahoma"/>
      <w:sz w:val="20"/>
      <w:szCs w:val="20"/>
      <w:lang w:val="en-US"/>
    </w:rPr>
  </w:style>
  <w:style w:type="character" w:styleId="Hyperlink">
    <w:name w:val="Hyperlink"/>
    <w:basedOn w:val="DefaultParagraphFont"/>
    <w:uiPriority w:val="99"/>
    <w:unhideWhenUsed/>
    <w:rsid w:val="00B900CD"/>
    <w:rPr>
      <w:color w:val="0000FF" w:themeColor="hyperlink"/>
      <w:u w:val="single"/>
    </w:rPr>
  </w:style>
  <w:style w:type="paragraph" w:styleId="BodyTextIndent2">
    <w:name w:val="Body Text Indent 2"/>
    <w:basedOn w:val="Normal"/>
    <w:link w:val="BodyTextIndent2Char"/>
    <w:uiPriority w:val="99"/>
    <w:semiHidden/>
    <w:unhideWhenUsed/>
    <w:rsid w:val="0028545B"/>
    <w:pPr>
      <w:spacing w:after="120" w:line="480" w:lineRule="auto"/>
      <w:ind w:left="283"/>
    </w:pPr>
  </w:style>
  <w:style w:type="character" w:customStyle="1" w:styleId="BodyTextIndent2Char">
    <w:name w:val="Body Text Indent 2 Char"/>
    <w:basedOn w:val="DefaultParagraphFont"/>
    <w:link w:val="BodyTextIndent2"/>
    <w:uiPriority w:val="99"/>
    <w:semiHidden/>
    <w:rsid w:val="0028545B"/>
    <w:rPr>
      <w:sz w:val="22"/>
      <w:szCs w:val="22"/>
    </w:rPr>
  </w:style>
  <w:style w:type="paragraph" w:customStyle="1" w:styleId="firstline">
    <w:name w:val="firstline"/>
    <w:basedOn w:val="Normal"/>
    <w:rsid w:val="00774F3C"/>
    <w:pPr>
      <w:spacing w:after="0" w:line="240" w:lineRule="atLeast"/>
      <w:ind w:firstLine="640"/>
      <w:jc w:val="both"/>
    </w:pPr>
    <w:rPr>
      <w:rFonts w:ascii="Times New Roman" w:eastAsia="Times New Roman" w:hAnsi="Times New Roman"/>
      <w:color w:val="000000"/>
      <w:sz w:val="24"/>
      <w:szCs w:val="24"/>
    </w:rPr>
  </w:style>
  <w:style w:type="character" w:customStyle="1" w:styleId="Heading1Char">
    <w:name w:val="Heading 1 Char"/>
    <w:basedOn w:val="DefaultParagraphFont"/>
    <w:link w:val="Heading1"/>
    <w:uiPriority w:val="9"/>
    <w:rsid w:val="00B1031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031E"/>
    <w:pPr>
      <w:spacing w:line="259" w:lineRule="auto"/>
      <w:outlineLvl w:val="9"/>
    </w:pPr>
    <w:rPr>
      <w:lang w:val="en-US" w:eastAsia="en-US"/>
    </w:rPr>
  </w:style>
  <w:style w:type="paragraph" w:styleId="TOC1">
    <w:name w:val="toc 1"/>
    <w:basedOn w:val="Normal"/>
    <w:next w:val="Normal"/>
    <w:autoRedefine/>
    <w:uiPriority w:val="39"/>
    <w:unhideWhenUsed/>
    <w:rsid w:val="00233749"/>
    <w:pPr>
      <w:spacing w:after="100"/>
    </w:pPr>
  </w:style>
  <w:style w:type="paragraph" w:styleId="TOC2">
    <w:name w:val="toc 2"/>
    <w:basedOn w:val="Normal"/>
    <w:next w:val="Normal"/>
    <w:autoRedefine/>
    <w:uiPriority w:val="39"/>
    <w:unhideWhenUsed/>
    <w:rsid w:val="00233749"/>
    <w:pPr>
      <w:spacing w:after="100"/>
      <w:ind w:left="220"/>
    </w:pPr>
  </w:style>
  <w:style w:type="paragraph" w:styleId="TOC3">
    <w:name w:val="toc 3"/>
    <w:basedOn w:val="Normal"/>
    <w:next w:val="Normal"/>
    <w:autoRedefine/>
    <w:uiPriority w:val="39"/>
    <w:unhideWhenUsed/>
    <w:rsid w:val="00BD6F39"/>
    <w:pPr>
      <w:spacing w:after="100"/>
      <w:ind w:left="440"/>
    </w:pPr>
  </w:style>
  <w:style w:type="character" w:customStyle="1" w:styleId="Heading4Char">
    <w:name w:val="Heading 4 Char"/>
    <w:basedOn w:val="DefaultParagraphFont"/>
    <w:link w:val="Heading4"/>
    <w:uiPriority w:val="9"/>
    <w:rsid w:val="00705C3B"/>
    <w:rPr>
      <w:rFonts w:asciiTheme="majorHAnsi" w:eastAsiaTheme="majorEastAsia" w:hAnsiTheme="majorHAnsi" w:cstheme="majorBidi"/>
      <w:i/>
      <w:iCs/>
      <w:color w:val="365F91" w:themeColor="accent1" w:themeShade="BF"/>
      <w:sz w:val="22"/>
      <w:szCs w:val="22"/>
    </w:rPr>
  </w:style>
  <w:style w:type="paragraph" w:customStyle="1" w:styleId="xl55">
    <w:name w:val="xl55"/>
    <w:basedOn w:val="Normal"/>
    <w:rsid w:val="004908DD"/>
    <w:pPr>
      <w:spacing w:before="100" w:beforeAutospacing="1" w:after="100" w:afterAutospacing="1" w:line="240" w:lineRule="auto"/>
      <w:textAlignment w:val="center"/>
    </w:pPr>
    <w:rPr>
      <w:rFonts w:ascii="Times New Roman" w:eastAsia="Arial Unicode MS" w:hAnsi="Times New Roman"/>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622"/>
    <w:pPr>
      <w:spacing w:after="200" w:line="276" w:lineRule="auto"/>
    </w:pPr>
    <w:rPr>
      <w:sz w:val="22"/>
      <w:szCs w:val="22"/>
    </w:rPr>
  </w:style>
  <w:style w:type="paragraph" w:styleId="Heading1">
    <w:name w:val="heading 1"/>
    <w:basedOn w:val="Normal"/>
    <w:next w:val="Normal"/>
    <w:link w:val="Heading1Char"/>
    <w:uiPriority w:val="9"/>
    <w:qFormat/>
    <w:rsid w:val="00B103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qFormat/>
    <w:rsid w:val="00DE15C4"/>
    <w:pPr>
      <w:spacing w:after="180"/>
      <w:outlineLvl w:val="1"/>
    </w:pPr>
    <w:rPr>
      <w:rFonts w:ascii="Franklin Gothic Heavy" w:eastAsia="Times New Roman" w:hAnsi="Franklin Gothic Heavy"/>
      <w:color w:val="000066"/>
      <w:kern w:val="28"/>
      <w:sz w:val="28"/>
      <w:szCs w:val="28"/>
    </w:rPr>
  </w:style>
  <w:style w:type="paragraph" w:styleId="Heading3">
    <w:name w:val="heading 3"/>
    <w:basedOn w:val="Normal"/>
    <w:next w:val="Normal"/>
    <w:link w:val="Heading3Char"/>
    <w:qFormat/>
    <w:rsid w:val="003D6097"/>
    <w:pPr>
      <w:keepNext/>
      <w:spacing w:before="240" w:after="60" w:line="300" w:lineRule="auto"/>
      <w:outlineLvl w:val="2"/>
    </w:pPr>
    <w:rPr>
      <w:rFonts w:ascii="Arial" w:eastAsia="Times New Roman" w:hAnsi="Arial"/>
      <w:b/>
      <w:bCs/>
      <w:color w:val="000000"/>
      <w:kern w:val="28"/>
      <w:sz w:val="26"/>
      <w:szCs w:val="26"/>
    </w:rPr>
  </w:style>
  <w:style w:type="paragraph" w:styleId="Heading4">
    <w:name w:val="heading 4"/>
    <w:basedOn w:val="Normal"/>
    <w:next w:val="Normal"/>
    <w:link w:val="Heading4Char"/>
    <w:uiPriority w:val="9"/>
    <w:unhideWhenUsed/>
    <w:qFormat/>
    <w:rsid w:val="00705C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E15C4"/>
    <w:rPr>
      <w:rFonts w:ascii="Franklin Gothic Heavy" w:eastAsia="Times New Roman" w:hAnsi="Franklin Gothic Heavy"/>
      <w:color w:val="000066"/>
      <w:kern w:val="28"/>
      <w:sz w:val="28"/>
      <w:szCs w:val="28"/>
      <w:lang w:val="bg-BG" w:eastAsia="bg-BG" w:bidi="ar-SA"/>
    </w:rPr>
  </w:style>
  <w:style w:type="paragraph" w:styleId="BalloonText">
    <w:name w:val="Balloon Text"/>
    <w:basedOn w:val="Normal"/>
    <w:link w:val="BalloonTextChar"/>
    <w:unhideWhenUsed/>
    <w:rsid w:val="00DE15C4"/>
    <w:pPr>
      <w:spacing w:after="0" w:line="240" w:lineRule="auto"/>
    </w:pPr>
    <w:rPr>
      <w:rFonts w:ascii="Tahoma" w:hAnsi="Tahoma"/>
      <w:sz w:val="16"/>
      <w:szCs w:val="16"/>
    </w:rPr>
  </w:style>
  <w:style w:type="character" w:customStyle="1" w:styleId="BalloonTextChar">
    <w:name w:val="Balloon Text Char"/>
    <w:link w:val="BalloonText"/>
    <w:rsid w:val="00DE15C4"/>
    <w:rPr>
      <w:rFonts w:ascii="Tahoma" w:hAnsi="Tahoma" w:cs="Tahoma"/>
      <w:sz w:val="16"/>
      <w:szCs w:val="16"/>
    </w:rPr>
  </w:style>
  <w:style w:type="numbering" w:customStyle="1" w:styleId="NoList1">
    <w:name w:val="No List1"/>
    <w:next w:val="NoList"/>
    <w:uiPriority w:val="99"/>
    <w:semiHidden/>
    <w:unhideWhenUsed/>
    <w:rsid w:val="00DE15C4"/>
  </w:style>
  <w:style w:type="paragraph" w:styleId="Title">
    <w:name w:val="Title"/>
    <w:basedOn w:val="Normal"/>
    <w:link w:val="TitleChar"/>
    <w:qFormat/>
    <w:rsid w:val="00DE15C4"/>
    <w:pPr>
      <w:pBdr>
        <w:bottom w:val="single" w:sz="8" w:space="4" w:color="4F81BD"/>
      </w:pBdr>
      <w:suppressAutoHyphens/>
      <w:autoSpaceDN w:val="0"/>
      <w:spacing w:after="160" w:line="240" w:lineRule="auto"/>
      <w:jc w:val="center"/>
      <w:textAlignment w:val="baseline"/>
    </w:pPr>
    <w:rPr>
      <w:rFonts w:ascii="Cambria" w:eastAsia="Calibri" w:hAnsi="Cambria"/>
      <w:b/>
      <w:smallCaps/>
      <w:color w:val="4F81BD"/>
      <w:sz w:val="48"/>
      <w:szCs w:val="48"/>
    </w:rPr>
  </w:style>
  <w:style w:type="character" w:customStyle="1" w:styleId="TitleChar">
    <w:name w:val="Title Char"/>
    <w:link w:val="Title"/>
    <w:rsid w:val="00DE15C4"/>
    <w:rPr>
      <w:rFonts w:ascii="Cambria" w:eastAsia="Calibri" w:hAnsi="Cambria" w:cs="Times New Roman"/>
      <w:b/>
      <w:smallCaps/>
      <w:color w:val="4F81BD"/>
      <w:sz w:val="48"/>
      <w:szCs w:val="48"/>
    </w:rPr>
  </w:style>
  <w:style w:type="paragraph" w:styleId="Subtitle">
    <w:name w:val="Subtitle"/>
    <w:basedOn w:val="Normal"/>
    <w:link w:val="SubtitleChar"/>
    <w:qFormat/>
    <w:rsid w:val="00DE15C4"/>
    <w:pPr>
      <w:suppressAutoHyphens/>
      <w:autoSpaceDN w:val="0"/>
      <w:spacing w:after="480" w:line="240" w:lineRule="auto"/>
      <w:jc w:val="center"/>
      <w:textAlignment w:val="baseline"/>
    </w:pPr>
    <w:rPr>
      <w:rFonts w:ascii="Cambria" w:eastAsia="Calibri" w:hAnsi="Cambria"/>
      <w:color w:val="000000"/>
      <w:sz w:val="28"/>
      <w:szCs w:val="24"/>
    </w:rPr>
  </w:style>
  <w:style w:type="character" w:customStyle="1" w:styleId="SubtitleChar">
    <w:name w:val="Subtitle Char"/>
    <w:link w:val="Subtitle"/>
    <w:rsid w:val="00DE15C4"/>
    <w:rPr>
      <w:rFonts w:ascii="Cambria" w:eastAsia="Calibri" w:hAnsi="Cambria" w:cs="Calibri"/>
      <w:color w:val="000000"/>
      <w:sz w:val="28"/>
      <w:szCs w:val="24"/>
    </w:rPr>
  </w:style>
  <w:style w:type="paragraph" w:styleId="Footer">
    <w:name w:val="footer"/>
    <w:basedOn w:val="Normal"/>
    <w:link w:val="FooterChar"/>
    <w:uiPriority w:val="99"/>
    <w:rsid w:val="00DE15C4"/>
    <w:pPr>
      <w:tabs>
        <w:tab w:val="center" w:pos="4320"/>
        <w:tab w:val="right" w:pos="8640"/>
      </w:tabs>
      <w:suppressAutoHyphens/>
      <w:autoSpaceDN w:val="0"/>
      <w:spacing w:after="160"/>
      <w:textAlignment w:val="baseline"/>
    </w:pPr>
    <w:rPr>
      <w:rFonts w:eastAsia="Calibri"/>
      <w:color w:val="000000"/>
      <w:sz w:val="20"/>
      <w:szCs w:val="20"/>
    </w:rPr>
  </w:style>
  <w:style w:type="character" w:customStyle="1" w:styleId="FooterChar">
    <w:name w:val="Footer Char"/>
    <w:link w:val="Footer"/>
    <w:uiPriority w:val="99"/>
    <w:rsid w:val="00DE15C4"/>
    <w:rPr>
      <w:rFonts w:ascii="Calibri" w:eastAsia="Calibri" w:hAnsi="Calibri" w:cs="Times New Roman"/>
      <w:color w:val="000000"/>
      <w:szCs w:val="20"/>
    </w:rPr>
  </w:style>
  <w:style w:type="paragraph" w:styleId="Caption">
    <w:name w:val="caption"/>
    <w:basedOn w:val="Normal"/>
    <w:next w:val="Normal"/>
    <w:qFormat/>
    <w:rsid w:val="00DE15C4"/>
    <w:pPr>
      <w:suppressAutoHyphens/>
      <w:autoSpaceDN w:val="0"/>
      <w:spacing w:after="0" w:line="240" w:lineRule="auto"/>
      <w:textAlignment w:val="baseline"/>
    </w:pPr>
    <w:rPr>
      <w:rFonts w:eastAsia="Calibri"/>
      <w:bCs/>
      <w:smallCaps/>
      <w:color w:val="C0504D"/>
      <w:spacing w:val="10"/>
      <w:sz w:val="18"/>
      <w:szCs w:val="18"/>
    </w:rPr>
  </w:style>
  <w:style w:type="paragraph" w:styleId="NoSpacing">
    <w:name w:val="No Spacing"/>
    <w:basedOn w:val="Normal"/>
    <w:rsid w:val="00DE15C4"/>
    <w:pPr>
      <w:suppressAutoHyphens/>
      <w:autoSpaceDN w:val="0"/>
      <w:spacing w:after="0" w:line="240" w:lineRule="auto"/>
      <w:textAlignment w:val="baseline"/>
    </w:pPr>
    <w:rPr>
      <w:rFonts w:eastAsia="Calibri"/>
      <w:color w:val="000000"/>
      <w:szCs w:val="20"/>
    </w:rPr>
  </w:style>
  <w:style w:type="paragraph" w:styleId="ListParagraph">
    <w:name w:val="List Paragraph"/>
    <w:basedOn w:val="Normal"/>
    <w:qFormat/>
    <w:rsid w:val="00DE15C4"/>
    <w:pPr>
      <w:suppressAutoHyphens/>
      <w:autoSpaceDN w:val="0"/>
      <w:ind w:left="720"/>
      <w:textAlignment w:val="baseline"/>
    </w:pPr>
    <w:rPr>
      <w:rFonts w:eastAsia="Calibri"/>
    </w:rPr>
  </w:style>
  <w:style w:type="paragraph" w:styleId="Header">
    <w:name w:val="header"/>
    <w:basedOn w:val="Normal"/>
    <w:link w:val="HeaderChar"/>
    <w:uiPriority w:val="99"/>
    <w:rsid w:val="00DE15C4"/>
    <w:pPr>
      <w:tabs>
        <w:tab w:val="center" w:pos="4703"/>
        <w:tab w:val="right" w:pos="9406"/>
      </w:tabs>
      <w:suppressAutoHyphens/>
      <w:autoSpaceDN w:val="0"/>
      <w:spacing w:after="0" w:line="240" w:lineRule="auto"/>
      <w:textAlignment w:val="baseline"/>
    </w:pPr>
    <w:rPr>
      <w:rFonts w:eastAsia="Calibri"/>
      <w:sz w:val="20"/>
      <w:szCs w:val="20"/>
    </w:rPr>
  </w:style>
  <w:style w:type="character" w:customStyle="1" w:styleId="HeaderChar">
    <w:name w:val="Header Char"/>
    <w:link w:val="Header"/>
    <w:uiPriority w:val="99"/>
    <w:rsid w:val="00DE15C4"/>
    <w:rPr>
      <w:rFonts w:ascii="Calibri" w:eastAsia="Calibri" w:hAnsi="Calibri" w:cs="Times New Roman"/>
    </w:rPr>
  </w:style>
  <w:style w:type="paragraph" w:customStyle="1" w:styleId="D345FF3D873148C5AE3FBF3267827368">
    <w:name w:val="D345FF3D873148C5AE3FBF3267827368"/>
    <w:rsid w:val="00DE15C4"/>
    <w:pPr>
      <w:suppressAutoHyphens/>
      <w:autoSpaceDN w:val="0"/>
      <w:spacing w:after="200" w:line="276" w:lineRule="auto"/>
      <w:textAlignment w:val="baseline"/>
    </w:pPr>
    <w:rPr>
      <w:rFonts w:eastAsia="Times New Roman"/>
      <w:sz w:val="22"/>
      <w:szCs w:val="22"/>
      <w:lang w:eastAsia="ja-JP"/>
    </w:rPr>
  </w:style>
  <w:style w:type="paragraph" w:customStyle="1" w:styleId="HeaderEven">
    <w:name w:val="Header Even"/>
    <w:basedOn w:val="NoSpacing"/>
    <w:rsid w:val="00DE15C4"/>
    <w:pPr>
      <w:pBdr>
        <w:bottom w:val="single" w:sz="4" w:space="1" w:color="4F81BD"/>
      </w:pBdr>
    </w:pPr>
    <w:rPr>
      <w:b/>
      <w:color w:val="1F497D"/>
      <w:sz w:val="20"/>
      <w:lang w:eastAsia="ja-JP"/>
    </w:rPr>
  </w:style>
  <w:style w:type="paragraph" w:customStyle="1" w:styleId="Char">
    <w:name w:val="Char"/>
    <w:basedOn w:val="Normal"/>
    <w:rsid w:val="00DE15C4"/>
    <w:pPr>
      <w:spacing w:before="120" w:after="160" w:line="240" w:lineRule="exact"/>
    </w:pPr>
    <w:rPr>
      <w:rFonts w:ascii="Tahoma" w:eastAsia="Times New Roman" w:hAnsi="Tahoma"/>
      <w:sz w:val="20"/>
      <w:szCs w:val="20"/>
    </w:rPr>
  </w:style>
  <w:style w:type="paragraph" w:styleId="BodyText3">
    <w:name w:val="Body Text 3"/>
    <w:link w:val="BodyText3Char"/>
    <w:rsid w:val="00DE15C4"/>
    <w:pPr>
      <w:spacing w:after="180" w:line="300" w:lineRule="auto"/>
    </w:pPr>
    <w:rPr>
      <w:rFonts w:ascii="Times New Roman" w:eastAsia="Times New Roman" w:hAnsi="Times New Roman"/>
      <w:color w:val="000000"/>
      <w:kern w:val="28"/>
      <w:sz w:val="18"/>
      <w:szCs w:val="18"/>
    </w:rPr>
  </w:style>
  <w:style w:type="character" w:customStyle="1" w:styleId="BodyText3Char">
    <w:name w:val="Body Text 3 Char"/>
    <w:link w:val="BodyText3"/>
    <w:rsid w:val="00DE15C4"/>
    <w:rPr>
      <w:rFonts w:ascii="Times New Roman" w:eastAsia="Times New Roman" w:hAnsi="Times New Roman"/>
      <w:color w:val="000000"/>
      <w:kern w:val="28"/>
      <w:sz w:val="18"/>
      <w:szCs w:val="18"/>
      <w:lang w:val="bg-BG" w:eastAsia="bg-BG" w:bidi="ar-SA"/>
    </w:rPr>
  </w:style>
  <w:style w:type="paragraph" w:customStyle="1" w:styleId="Char1">
    <w:name w:val="Char1"/>
    <w:basedOn w:val="Normal"/>
    <w:rsid w:val="00DE15C4"/>
    <w:pPr>
      <w:spacing w:before="120" w:after="160" w:line="240" w:lineRule="exact"/>
    </w:pPr>
    <w:rPr>
      <w:rFonts w:ascii="Tahoma" w:eastAsia="Times New Roman" w:hAnsi="Tahoma"/>
      <w:sz w:val="20"/>
      <w:szCs w:val="20"/>
    </w:rPr>
  </w:style>
  <w:style w:type="paragraph" w:styleId="EndnoteText">
    <w:name w:val="endnote text"/>
    <w:basedOn w:val="Normal"/>
    <w:link w:val="EndnoteTextChar"/>
    <w:uiPriority w:val="99"/>
    <w:semiHidden/>
    <w:unhideWhenUsed/>
    <w:rsid w:val="00DE15C4"/>
    <w:pPr>
      <w:spacing w:after="0" w:line="240" w:lineRule="auto"/>
    </w:pPr>
    <w:rPr>
      <w:sz w:val="20"/>
      <w:szCs w:val="20"/>
    </w:rPr>
  </w:style>
  <w:style w:type="character" w:customStyle="1" w:styleId="EndnoteTextChar">
    <w:name w:val="Endnote Text Char"/>
    <w:link w:val="EndnoteText"/>
    <w:uiPriority w:val="99"/>
    <w:semiHidden/>
    <w:rsid w:val="00DE15C4"/>
    <w:rPr>
      <w:sz w:val="20"/>
      <w:szCs w:val="20"/>
    </w:rPr>
  </w:style>
  <w:style w:type="character" w:styleId="EndnoteReference">
    <w:name w:val="endnote reference"/>
    <w:uiPriority w:val="99"/>
    <w:semiHidden/>
    <w:unhideWhenUsed/>
    <w:rsid w:val="00DE15C4"/>
    <w:rPr>
      <w:vertAlign w:val="superscript"/>
    </w:rPr>
  </w:style>
  <w:style w:type="paragraph" w:styleId="FootnoteText">
    <w:name w:val="footnote text"/>
    <w:basedOn w:val="Normal"/>
    <w:link w:val="FootnoteTextChar"/>
    <w:uiPriority w:val="99"/>
    <w:unhideWhenUsed/>
    <w:rsid w:val="00DE15C4"/>
    <w:pPr>
      <w:spacing w:after="0" w:line="240" w:lineRule="auto"/>
    </w:pPr>
    <w:rPr>
      <w:sz w:val="20"/>
      <w:szCs w:val="20"/>
    </w:rPr>
  </w:style>
  <w:style w:type="character" w:customStyle="1" w:styleId="FootnoteTextChar">
    <w:name w:val="Footnote Text Char"/>
    <w:link w:val="FootnoteText"/>
    <w:uiPriority w:val="99"/>
    <w:rsid w:val="00DE15C4"/>
    <w:rPr>
      <w:sz w:val="20"/>
      <w:szCs w:val="20"/>
    </w:rPr>
  </w:style>
  <w:style w:type="character" w:styleId="FootnoteReference">
    <w:name w:val="footnote reference"/>
    <w:uiPriority w:val="99"/>
    <w:semiHidden/>
    <w:unhideWhenUsed/>
    <w:rsid w:val="00DE15C4"/>
    <w:rPr>
      <w:vertAlign w:val="superscript"/>
    </w:rPr>
  </w:style>
  <w:style w:type="character" w:customStyle="1" w:styleId="Heading3Char">
    <w:name w:val="Heading 3 Char"/>
    <w:link w:val="Heading3"/>
    <w:rsid w:val="003D6097"/>
    <w:rPr>
      <w:rFonts w:ascii="Arial" w:eastAsia="Times New Roman" w:hAnsi="Arial" w:cs="Arial"/>
      <w:b/>
      <w:bCs/>
      <w:color w:val="000000"/>
      <w:kern w:val="28"/>
      <w:sz w:val="26"/>
      <w:szCs w:val="26"/>
      <w:lang w:val="bg-BG" w:eastAsia="bg-BG"/>
    </w:rPr>
  </w:style>
  <w:style w:type="paragraph" w:styleId="HTMLPreformatted">
    <w:name w:val="HTML Preformatted"/>
    <w:basedOn w:val="Normal"/>
    <w:link w:val="HTMLPreformattedChar"/>
    <w:rsid w:val="00F8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F8069B"/>
    <w:rPr>
      <w:rFonts w:ascii="Courier New" w:eastAsia="Times New Roman" w:hAnsi="Courier New" w:cs="Courier New"/>
      <w:sz w:val="20"/>
      <w:szCs w:val="20"/>
      <w:lang w:val="bg-BG" w:eastAsia="bg-BG"/>
    </w:rPr>
  </w:style>
  <w:style w:type="character" w:styleId="CommentReference">
    <w:name w:val="annotation reference"/>
    <w:uiPriority w:val="99"/>
    <w:semiHidden/>
    <w:unhideWhenUsed/>
    <w:rsid w:val="00022FCD"/>
    <w:rPr>
      <w:sz w:val="16"/>
      <w:szCs w:val="16"/>
    </w:rPr>
  </w:style>
  <w:style w:type="paragraph" w:styleId="CommentText">
    <w:name w:val="annotation text"/>
    <w:basedOn w:val="Normal"/>
    <w:link w:val="CommentTextChar"/>
    <w:uiPriority w:val="99"/>
    <w:semiHidden/>
    <w:unhideWhenUsed/>
    <w:rsid w:val="00022FCD"/>
    <w:pPr>
      <w:spacing w:line="240" w:lineRule="auto"/>
    </w:pPr>
    <w:rPr>
      <w:sz w:val="20"/>
      <w:szCs w:val="20"/>
    </w:rPr>
  </w:style>
  <w:style w:type="character" w:customStyle="1" w:styleId="CommentTextChar">
    <w:name w:val="Comment Text Char"/>
    <w:link w:val="CommentText"/>
    <w:uiPriority w:val="99"/>
    <w:semiHidden/>
    <w:rsid w:val="00022FCD"/>
    <w:rPr>
      <w:sz w:val="20"/>
      <w:szCs w:val="20"/>
    </w:rPr>
  </w:style>
  <w:style w:type="paragraph" w:styleId="CommentSubject">
    <w:name w:val="annotation subject"/>
    <w:basedOn w:val="CommentText"/>
    <w:next w:val="CommentText"/>
    <w:link w:val="CommentSubjectChar"/>
    <w:uiPriority w:val="99"/>
    <w:semiHidden/>
    <w:unhideWhenUsed/>
    <w:rsid w:val="00022FCD"/>
    <w:rPr>
      <w:b/>
      <w:bCs/>
    </w:rPr>
  </w:style>
  <w:style w:type="character" w:customStyle="1" w:styleId="CommentSubjectChar">
    <w:name w:val="Comment Subject Char"/>
    <w:link w:val="CommentSubject"/>
    <w:uiPriority w:val="99"/>
    <w:semiHidden/>
    <w:rsid w:val="00022FCD"/>
    <w:rPr>
      <w:b/>
      <w:bCs/>
      <w:sz w:val="20"/>
      <w:szCs w:val="20"/>
    </w:rPr>
  </w:style>
  <w:style w:type="paragraph" w:styleId="Revision">
    <w:name w:val="Revision"/>
    <w:hidden/>
    <w:uiPriority w:val="99"/>
    <w:rsid w:val="00385243"/>
    <w:rPr>
      <w:sz w:val="22"/>
      <w:szCs w:val="22"/>
    </w:rPr>
  </w:style>
  <w:style w:type="numbering" w:customStyle="1" w:styleId="NoList2">
    <w:name w:val="No List2"/>
    <w:next w:val="NoList"/>
    <w:uiPriority w:val="99"/>
    <w:semiHidden/>
    <w:unhideWhenUsed/>
    <w:rsid w:val="00CA426D"/>
  </w:style>
  <w:style w:type="numbering" w:customStyle="1" w:styleId="NoList11">
    <w:name w:val="No List11"/>
    <w:next w:val="NoList"/>
    <w:uiPriority w:val="99"/>
    <w:semiHidden/>
    <w:unhideWhenUsed/>
    <w:rsid w:val="00CA426D"/>
  </w:style>
  <w:style w:type="paragraph" w:customStyle="1" w:styleId="NoSpacing1">
    <w:name w:val="No Spacing1"/>
    <w:basedOn w:val="Normal"/>
    <w:rsid w:val="00CA426D"/>
    <w:pPr>
      <w:suppressAutoHyphens/>
      <w:autoSpaceDN w:val="0"/>
      <w:spacing w:after="0" w:line="240" w:lineRule="auto"/>
      <w:textAlignment w:val="baseline"/>
    </w:pPr>
    <w:rPr>
      <w:rFonts w:eastAsia="Calibri"/>
      <w:color w:val="000000"/>
      <w:sz w:val="24"/>
      <w:szCs w:val="20"/>
    </w:rPr>
  </w:style>
  <w:style w:type="paragraph" w:customStyle="1" w:styleId="ColorfulList-Accent11">
    <w:name w:val="Colorful List - Accent 11"/>
    <w:basedOn w:val="Normal"/>
    <w:rsid w:val="00CA426D"/>
    <w:pPr>
      <w:suppressAutoHyphens/>
      <w:autoSpaceDN w:val="0"/>
      <w:spacing w:after="0" w:line="240" w:lineRule="atLeast"/>
      <w:ind w:left="720"/>
      <w:textAlignment w:val="baseline"/>
    </w:pPr>
    <w:rPr>
      <w:rFonts w:eastAsia="Calibri"/>
      <w:sz w:val="24"/>
      <w:szCs w:val="24"/>
    </w:rPr>
  </w:style>
  <w:style w:type="paragraph" w:styleId="BodyText">
    <w:name w:val="Body Text"/>
    <w:basedOn w:val="Normal"/>
    <w:link w:val="BodyTextChar1"/>
    <w:rsid w:val="00CA426D"/>
    <w:pPr>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uiPriority w:val="99"/>
    <w:semiHidden/>
    <w:rsid w:val="00CA426D"/>
  </w:style>
  <w:style w:type="character" w:customStyle="1" w:styleId="BodyTextChar1">
    <w:name w:val="Body Text Char1"/>
    <w:link w:val="BodyText"/>
    <w:rsid w:val="00CA426D"/>
    <w:rPr>
      <w:rFonts w:ascii="Times New Roman" w:eastAsia="Times New Roman" w:hAnsi="Times New Roman" w:cs="Times New Roman"/>
      <w:sz w:val="20"/>
      <w:szCs w:val="20"/>
      <w:lang w:val="bg-BG" w:eastAsia="bg-BG"/>
    </w:rPr>
  </w:style>
  <w:style w:type="paragraph" w:styleId="BodyText2">
    <w:name w:val="Body Text 2"/>
    <w:basedOn w:val="Normal"/>
    <w:link w:val="BodyText2Char"/>
    <w:uiPriority w:val="99"/>
    <w:semiHidden/>
    <w:unhideWhenUsed/>
    <w:rsid w:val="00CA426D"/>
    <w:pPr>
      <w:spacing w:after="120" w:line="480" w:lineRule="auto"/>
    </w:pPr>
    <w:rPr>
      <w:rFonts w:eastAsia="Calibri"/>
      <w:sz w:val="24"/>
      <w:szCs w:val="24"/>
    </w:rPr>
  </w:style>
  <w:style w:type="character" w:customStyle="1" w:styleId="BodyText2Char">
    <w:name w:val="Body Text 2 Char"/>
    <w:link w:val="BodyText2"/>
    <w:uiPriority w:val="99"/>
    <w:semiHidden/>
    <w:rsid w:val="00CA426D"/>
    <w:rPr>
      <w:rFonts w:ascii="Calibri" w:eastAsia="Calibri" w:hAnsi="Calibri" w:cs="Times New Roman"/>
      <w:sz w:val="24"/>
      <w:szCs w:val="24"/>
      <w:lang w:val="bg-BG" w:eastAsia="bg-BG"/>
    </w:rPr>
  </w:style>
  <w:style w:type="table" w:customStyle="1" w:styleId="MediumShading1-Accent11">
    <w:name w:val="Medium Shading 1 - Accent 11"/>
    <w:basedOn w:val="TableNormal"/>
    <w:uiPriority w:val="68"/>
    <w:rsid w:val="00CA426D"/>
    <w:rPr>
      <w:rFonts w:eastAsia="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har4">
    <w:name w:val="Char4"/>
    <w:basedOn w:val="Normal"/>
    <w:rsid w:val="0063319E"/>
    <w:pPr>
      <w:spacing w:before="120" w:after="160" w:line="240" w:lineRule="exact"/>
    </w:pPr>
    <w:rPr>
      <w:rFonts w:ascii="Tahoma" w:eastAsia="Times New Roman" w:hAnsi="Tahoma"/>
      <w:sz w:val="20"/>
      <w:szCs w:val="20"/>
    </w:rPr>
  </w:style>
  <w:style w:type="paragraph" w:customStyle="1" w:styleId="Char3">
    <w:name w:val="Char3"/>
    <w:basedOn w:val="Normal"/>
    <w:rsid w:val="003F023E"/>
    <w:pPr>
      <w:spacing w:before="120" w:after="160" w:line="240" w:lineRule="exact"/>
    </w:pPr>
    <w:rPr>
      <w:rFonts w:ascii="Tahoma" w:eastAsia="Times New Roman" w:hAnsi="Tahoma"/>
      <w:sz w:val="20"/>
      <w:szCs w:val="20"/>
    </w:rPr>
  </w:style>
  <w:style w:type="paragraph" w:styleId="NormalWeb">
    <w:name w:val="Normal (Web)"/>
    <w:basedOn w:val="Normal"/>
    <w:uiPriority w:val="99"/>
    <w:unhideWhenUsed/>
    <w:rsid w:val="008D78A1"/>
    <w:pPr>
      <w:spacing w:before="100" w:beforeAutospacing="1" w:after="100" w:afterAutospacing="1" w:line="240" w:lineRule="auto"/>
    </w:pPr>
    <w:rPr>
      <w:rFonts w:ascii="Times" w:hAnsi="Times"/>
      <w:sz w:val="20"/>
      <w:szCs w:val="20"/>
    </w:rPr>
  </w:style>
  <w:style w:type="paragraph" w:customStyle="1" w:styleId="AFA">
    <w:name w:val="AFA"/>
    <w:basedOn w:val="Normal"/>
    <w:rsid w:val="00335E38"/>
    <w:pPr>
      <w:suppressLineNumbers/>
      <w:tabs>
        <w:tab w:val="left" w:pos="709"/>
      </w:tabs>
      <w:suppressAutoHyphens/>
      <w:spacing w:before="120" w:after="120" w:line="312" w:lineRule="auto"/>
      <w:ind w:firstLine="709"/>
      <w:jc w:val="both"/>
    </w:pPr>
    <w:rPr>
      <w:rFonts w:ascii="Times New Roman" w:eastAsia="Times New Roman" w:hAnsi="Times New Roman"/>
    </w:rPr>
  </w:style>
  <w:style w:type="paragraph" w:customStyle="1" w:styleId="CharCharCharChar">
    <w:name w:val="Char Char Char Char"/>
    <w:basedOn w:val="Normal"/>
    <w:rsid w:val="00D35850"/>
    <w:pPr>
      <w:spacing w:before="120" w:after="160" w:line="240" w:lineRule="exact"/>
    </w:pPr>
    <w:rPr>
      <w:rFonts w:ascii="Tahoma" w:eastAsia="Times New Roman" w:hAnsi="Tahoma"/>
      <w:sz w:val="20"/>
      <w:szCs w:val="20"/>
      <w:lang w:val="en-US"/>
    </w:rPr>
  </w:style>
  <w:style w:type="paragraph" w:customStyle="1" w:styleId="Char2">
    <w:name w:val="Char2"/>
    <w:basedOn w:val="Normal"/>
    <w:rsid w:val="000E3528"/>
    <w:pPr>
      <w:spacing w:before="120" w:after="160" w:line="240" w:lineRule="exact"/>
    </w:pPr>
    <w:rPr>
      <w:rFonts w:ascii="Tahoma" w:eastAsia="Times New Roman" w:hAnsi="Tahoma"/>
      <w:sz w:val="20"/>
      <w:szCs w:val="20"/>
      <w:lang w:val="en-US"/>
    </w:rPr>
  </w:style>
  <w:style w:type="character" w:styleId="Hyperlink">
    <w:name w:val="Hyperlink"/>
    <w:basedOn w:val="DefaultParagraphFont"/>
    <w:uiPriority w:val="99"/>
    <w:unhideWhenUsed/>
    <w:rsid w:val="00B900CD"/>
    <w:rPr>
      <w:color w:val="0000FF" w:themeColor="hyperlink"/>
      <w:u w:val="single"/>
    </w:rPr>
  </w:style>
  <w:style w:type="paragraph" w:styleId="BodyTextIndent2">
    <w:name w:val="Body Text Indent 2"/>
    <w:basedOn w:val="Normal"/>
    <w:link w:val="BodyTextIndent2Char"/>
    <w:uiPriority w:val="99"/>
    <w:semiHidden/>
    <w:unhideWhenUsed/>
    <w:rsid w:val="0028545B"/>
    <w:pPr>
      <w:spacing w:after="120" w:line="480" w:lineRule="auto"/>
      <w:ind w:left="283"/>
    </w:pPr>
  </w:style>
  <w:style w:type="character" w:customStyle="1" w:styleId="BodyTextIndent2Char">
    <w:name w:val="Body Text Indent 2 Char"/>
    <w:basedOn w:val="DefaultParagraphFont"/>
    <w:link w:val="BodyTextIndent2"/>
    <w:uiPriority w:val="99"/>
    <w:semiHidden/>
    <w:rsid w:val="0028545B"/>
    <w:rPr>
      <w:sz w:val="22"/>
      <w:szCs w:val="22"/>
    </w:rPr>
  </w:style>
  <w:style w:type="paragraph" w:customStyle="1" w:styleId="firstline">
    <w:name w:val="firstline"/>
    <w:basedOn w:val="Normal"/>
    <w:rsid w:val="00774F3C"/>
    <w:pPr>
      <w:spacing w:after="0" w:line="240" w:lineRule="atLeast"/>
      <w:ind w:firstLine="640"/>
      <w:jc w:val="both"/>
    </w:pPr>
    <w:rPr>
      <w:rFonts w:ascii="Times New Roman" w:eastAsia="Times New Roman" w:hAnsi="Times New Roman"/>
      <w:color w:val="000000"/>
      <w:sz w:val="24"/>
      <w:szCs w:val="24"/>
    </w:rPr>
  </w:style>
  <w:style w:type="character" w:customStyle="1" w:styleId="Heading1Char">
    <w:name w:val="Heading 1 Char"/>
    <w:basedOn w:val="DefaultParagraphFont"/>
    <w:link w:val="Heading1"/>
    <w:uiPriority w:val="9"/>
    <w:rsid w:val="00B1031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031E"/>
    <w:pPr>
      <w:spacing w:line="259" w:lineRule="auto"/>
      <w:outlineLvl w:val="9"/>
    </w:pPr>
    <w:rPr>
      <w:lang w:val="en-US" w:eastAsia="en-US"/>
    </w:rPr>
  </w:style>
  <w:style w:type="paragraph" w:styleId="TOC1">
    <w:name w:val="toc 1"/>
    <w:basedOn w:val="Normal"/>
    <w:next w:val="Normal"/>
    <w:autoRedefine/>
    <w:uiPriority w:val="39"/>
    <w:unhideWhenUsed/>
    <w:rsid w:val="00233749"/>
    <w:pPr>
      <w:spacing w:after="100"/>
    </w:pPr>
  </w:style>
  <w:style w:type="paragraph" w:styleId="TOC2">
    <w:name w:val="toc 2"/>
    <w:basedOn w:val="Normal"/>
    <w:next w:val="Normal"/>
    <w:autoRedefine/>
    <w:uiPriority w:val="39"/>
    <w:unhideWhenUsed/>
    <w:rsid w:val="00233749"/>
    <w:pPr>
      <w:spacing w:after="100"/>
      <w:ind w:left="220"/>
    </w:pPr>
  </w:style>
  <w:style w:type="paragraph" w:styleId="TOC3">
    <w:name w:val="toc 3"/>
    <w:basedOn w:val="Normal"/>
    <w:next w:val="Normal"/>
    <w:autoRedefine/>
    <w:uiPriority w:val="39"/>
    <w:unhideWhenUsed/>
    <w:rsid w:val="00BD6F39"/>
    <w:pPr>
      <w:spacing w:after="100"/>
      <w:ind w:left="440"/>
    </w:pPr>
  </w:style>
  <w:style w:type="character" w:customStyle="1" w:styleId="Heading4Char">
    <w:name w:val="Heading 4 Char"/>
    <w:basedOn w:val="DefaultParagraphFont"/>
    <w:link w:val="Heading4"/>
    <w:uiPriority w:val="9"/>
    <w:rsid w:val="00705C3B"/>
    <w:rPr>
      <w:rFonts w:asciiTheme="majorHAnsi" w:eastAsiaTheme="majorEastAsia" w:hAnsiTheme="majorHAnsi" w:cstheme="majorBidi"/>
      <w:i/>
      <w:iCs/>
      <w:color w:val="365F91" w:themeColor="accent1" w:themeShade="BF"/>
      <w:sz w:val="22"/>
      <w:szCs w:val="22"/>
    </w:rPr>
  </w:style>
  <w:style w:type="paragraph" w:customStyle="1" w:styleId="xl55">
    <w:name w:val="xl55"/>
    <w:basedOn w:val="Normal"/>
    <w:rsid w:val="004908DD"/>
    <w:pPr>
      <w:spacing w:before="100" w:beforeAutospacing="1" w:after="100" w:afterAutospacing="1" w:line="240" w:lineRule="auto"/>
      <w:textAlignment w:val="center"/>
    </w:pPr>
    <w:rPr>
      <w:rFonts w:ascii="Times New Roman" w:eastAsia="Arial Unicode MS" w:hAnsi="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907">
      <w:bodyDiv w:val="1"/>
      <w:marLeft w:val="0"/>
      <w:marRight w:val="0"/>
      <w:marTop w:val="0"/>
      <w:marBottom w:val="0"/>
      <w:divBdr>
        <w:top w:val="none" w:sz="0" w:space="0" w:color="auto"/>
        <w:left w:val="none" w:sz="0" w:space="0" w:color="auto"/>
        <w:bottom w:val="none" w:sz="0" w:space="0" w:color="auto"/>
        <w:right w:val="none" w:sz="0" w:space="0" w:color="auto"/>
      </w:divBdr>
    </w:div>
    <w:div w:id="5249600">
      <w:bodyDiv w:val="1"/>
      <w:marLeft w:val="0"/>
      <w:marRight w:val="0"/>
      <w:marTop w:val="0"/>
      <w:marBottom w:val="0"/>
      <w:divBdr>
        <w:top w:val="none" w:sz="0" w:space="0" w:color="auto"/>
        <w:left w:val="none" w:sz="0" w:space="0" w:color="auto"/>
        <w:bottom w:val="none" w:sz="0" w:space="0" w:color="auto"/>
        <w:right w:val="none" w:sz="0" w:space="0" w:color="auto"/>
      </w:divBdr>
    </w:div>
    <w:div w:id="6644530">
      <w:bodyDiv w:val="1"/>
      <w:marLeft w:val="0"/>
      <w:marRight w:val="0"/>
      <w:marTop w:val="0"/>
      <w:marBottom w:val="0"/>
      <w:divBdr>
        <w:top w:val="none" w:sz="0" w:space="0" w:color="auto"/>
        <w:left w:val="none" w:sz="0" w:space="0" w:color="auto"/>
        <w:bottom w:val="none" w:sz="0" w:space="0" w:color="auto"/>
        <w:right w:val="none" w:sz="0" w:space="0" w:color="auto"/>
      </w:divBdr>
    </w:div>
    <w:div w:id="8873342">
      <w:bodyDiv w:val="1"/>
      <w:marLeft w:val="0"/>
      <w:marRight w:val="0"/>
      <w:marTop w:val="0"/>
      <w:marBottom w:val="0"/>
      <w:divBdr>
        <w:top w:val="none" w:sz="0" w:space="0" w:color="auto"/>
        <w:left w:val="none" w:sz="0" w:space="0" w:color="auto"/>
        <w:bottom w:val="none" w:sz="0" w:space="0" w:color="auto"/>
        <w:right w:val="none" w:sz="0" w:space="0" w:color="auto"/>
      </w:divBdr>
    </w:div>
    <w:div w:id="9722038">
      <w:bodyDiv w:val="1"/>
      <w:marLeft w:val="0"/>
      <w:marRight w:val="0"/>
      <w:marTop w:val="0"/>
      <w:marBottom w:val="0"/>
      <w:divBdr>
        <w:top w:val="none" w:sz="0" w:space="0" w:color="auto"/>
        <w:left w:val="none" w:sz="0" w:space="0" w:color="auto"/>
        <w:bottom w:val="none" w:sz="0" w:space="0" w:color="auto"/>
        <w:right w:val="none" w:sz="0" w:space="0" w:color="auto"/>
      </w:divBdr>
    </w:div>
    <w:div w:id="10767205">
      <w:bodyDiv w:val="1"/>
      <w:marLeft w:val="0"/>
      <w:marRight w:val="0"/>
      <w:marTop w:val="0"/>
      <w:marBottom w:val="0"/>
      <w:divBdr>
        <w:top w:val="none" w:sz="0" w:space="0" w:color="auto"/>
        <w:left w:val="none" w:sz="0" w:space="0" w:color="auto"/>
        <w:bottom w:val="none" w:sz="0" w:space="0" w:color="auto"/>
        <w:right w:val="none" w:sz="0" w:space="0" w:color="auto"/>
      </w:divBdr>
    </w:div>
    <w:div w:id="21784189">
      <w:bodyDiv w:val="1"/>
      <w:marLeft w:val="0"/>
      <w:marRight w:val="0"/>
      <w:marTop w:val="0"/>
      <w:marBottom w:val="0"/>
      <w:divBdr>
        <w:top w:val="none" w:sz="0" w:space="0" w:color="auto"/>
        <w:left w:val="none" w:sz="0" w:space="0" w:color="auto"/>
        <w:bottom w:val="none" w:sz="0" w:space="0" w:color="auto"/>
        <w:right w:val="none" w:sz="0" w:space="0" w:color="auto"/>
      </w:divBdr>
    </w:div>
    <w:div w:id="22025991">
      <w:bodyDiv w:val="1"/>
      <w:marLeft w:val="0"/>
      <w:marRight w:val="0"/>
      <w:marTop w:val="0"/>
      <w:marBottom w:val="0"/>
      <w:divBdr>
        <w:top w:val="none" w:sz="0" w:space="0" w:color="auto"/>
        <w:left w:val="none" w:sz="0" w:space="0" w:color="auto"/>
        <w:bottom w:val="none" w:sz="0" w:space="0" w:color="auto"/>
        <w:right w:val="none" w:sz="0" w:space="0" w:color="auto"/>
      </w:divBdr>
    </w:div>
    <w:div w:id="25839454">
      <w:bodyDiv w:val="1"/>
      <w:marLeft w:val="0"/>
      <w:marRight w:val="0"/>
      <w:marTop w:val="0"/>
      <w:marBottom w:val="0"/>
      <w:divBdr>
        <w:top w:val="none" w:sz="0" w:space="0" w:color="auto"/>
        <w:left w:val="none" w:sz="0" w:space="0" w:color="auto"/>
        <w:bottom w:val="none" w:sz="0" w:space="0" w:color="auto"/>
        <w:right w:val="none" w:sz="0" w:space="0" w:color="auto"/>
      </w:divBdr>
    </w:div>
    <w:div w:id="29379775">
      <w:bodyDiv w:val="1"/>
      <w:marLeft w:val="0"/>
      <w:marRight w:val="0"/>
      <w:marTop w:val="0"/>
      <w:marBottom w:val="0"/>
      <w:divBdr>
        <w:top w:val="none" w:sz="0" w:space="0" w:color="auto"/>
        <w:left w:val="none" w:sz="0" w:space="0" w:color="auto"/>
        <w:bottom w:val="none" w:sz="0" w:space="0" w:color="auto"/>
        <w:right w:val="none" w:sz="0" w:space="0" w:color="auto"/>
      </w:divBdr>
    </w:div>
    <w:div w:id="34625826">
      <w:bodyDiv w:val="1"/>
      <w:marLeft w:val="0"/>
      <w:marRight w:val="0"/>
      <w:marTop w:val="0"/>
      <w:marBottom w:val="0"/>
      <w:divBdr>
        <w:top w:val="none" w:sz="0" w:space="0" w:color="auto"/>
        <w:left w:val="none" w:sz="0" w:space="0" w:color="auto"/>
        <w:bottom w:val="none" w:sz="0" w:space="0" w:color="auto"/>
        <w:right w:val="none" w:sz="0" w:space="0" w:color="auto"/>
      </w:divBdr>
    </w:div>
    <w:div w:id="34819665">
      <w:bodyDiv w:val="1"/>
      <w:marLeft w:val="0"/>
      <w:marRight w:val="0"/>
      <w:marTop w:val="0"/>
      <w:marBottom w:val="0"/>
      <w:divBdr>
        <w:top w:val="none" w:sz="0" w:space="0" w:color="auto"/>
        <w:left w:val="none" w:sz="0" w:space="0" w:color="auto"/>
        <w:bottom w:val="none" w:sz="0" w:space="0" w:color="auto"/>
        <w:right w:val="none" w:sz="0" w:space="0" w:color="auto"/>
      </w:divBdr>
    </w:div>
    <w:div w:id="42600263">
      <w:bodyDiv w:val="1"/>
      <w:marLeft w:val="0"/>
      <w:marRight w:val="0"/>
      <w:marTop w:val="0"/>
      <w:marBottom w:val="0"/>
      <w:divBdr>
        <w:top w:val="none" w:sz="0" w:space="0" w:color="auto"/>
        <w:left w:val="none" w:sz="0" w:space="0" w:color="auto"/>
        <w:bottom w:val="none" w:sz="0" w:space="0" w:color="auto"/>
        <w:right w:val="none" w:sz="0" w:space="0" w:color="auto"/>
      </w:divBdr>
    </w:div>
    <w:div w:id="44068118">
      <w:bodyDiv w:val="1"/>
      <w:marLeft w:val="0"/>
      <w:marRight w:val="0"/>
      <w:marTop w:val="0"/>
      <w:marBottom w:val="0"/>
      <w:divBdr>
        <w:top w:val="none" w:sz="0" w:space="0" w:color="auto"/>
        <w:left w:val="none" w:sz="0" w:space="0" w:color="auto"/>
        <w:bottom w:val="none" w:sz="0" w:space="0" w:color="auto"/>
        <w:right w:val="none" w:sz="0" w:space="0" w:color="auto"/>
      </w:divBdr>
    </w:div>
    <w:div w:id="45497668">
      <w:bodyDiv w:val="1"/>
      <w:marLeft w:val="0"/>
      <w:marRight w:val="0"/>
      <w:marTop w:val="0"/>
      <w:marBottom w:val="0"/>
      <w:divBdr>
        <w:top w:val="none" w:sz="0" w:space="0" w:color="auto"/>
        <w:left w:val="none" w:sz="0" w:space="0" w:color="auto"/>
        <w:bottom w:val="none" w:sz="0" w:space="0" w:color="auto"/>
        <w:right w:val="none" w:sz="0" w:space="0" w:color="auto"/>
      </w:divBdr>
    </w:div>
    <w:div w:id="46146007">
      <w:bodyDiv w:val="1"/>
      <w:marLeft w:val="0"/>
      <w:marRight w:val="0"/>
      <w:marTop w:val="0"/>
      <w:marBottom w:val="0"/>
      <w:divBdr>
        <w:top w:val="none" w:sz="0" w:space="0" w:color="auto"/>
        <w:left w:val="none" w:sz="0" w:space="0" w:color="auto"/>
        <w:bottom w:val="none" w:sz="0" w:space="0" w:color="auto"/>
        <w:right w:val="none" w:sz="0" w:space="0" w:color="auto"/>
      </w:divBdr>
    </w:div>
    <w:div w:id="51736831">
      <w:bodyDiv w:val="1"/>
      <w:marLeft w:val="0"/>
      <w:marRight w:val="0"/>
      <w:marTop w:val="0"/>
      <w:marBottom w:val="0"/>
      <w:divBdr>
        <w:top w:val="none" w:sz="0" w:space="0" w:color="auto"/>
        <w:left w:val="none" w:sz="0" w:space="0" w:color="auto"/>
        <w:bottom w:val="none" w:sz="0" w:space="0" w:color="auto"/>
        <w:right w:val="none" w:sz="0" w:space="0" w:color="auto"/>
      </w:divBdr>
    </w:div>
    <w:div w:id="58790318">
      <w:bodyDiv w:val="1"/>
      <w:marLeft w:val="0"/>
      <w:marRight w:val="0"/>
      <w:marTop w:val="0"/>
      <w:marBottom w:val="0"/>
      <w:divBdr>
        <w:top w:val="none" w:sz="0" w:space="0" w:color="auto"/>
        <w:left w:val="none" w:sz="0" w:space="0" w:color="auto"/>
        <w:bottom w:val="none" w:sz="0" w:space="0" w:color="auto"/>
        <w:right w:val="none" w:sz="0" w:space="0" w:color="auto"/>
      </w:divBdr>
    </w:div>
    <w:div w:id="61488318">
      <w:bodyDiv w:val="1"/>
      <w:marLeft w:val="0"/>
      <w:marRight w:val="0"/>
      <w:marTop w:val="0"/>
      <w:marBottom w:val="0"/>
      <w:divBdr>
        <w:top w:val="none" w:sz="0" w:space="0" w:color="auto"/>
        <w:left w:val="none" w:sz="0" w:space="0" w:color="auto"/>
        <w:bottom w:val="none" w:sz="0" w:space="0" w:color="auto"/>
        <w:right w:val="none" w:sz="0" w:space="0" w:color="auto"/>
      </w:divBdr>
    </w:div>
    <w:div w:id="65231869">
      <w:bodyDiv w:val="1"/>
      <w:marLeft w:val="0"/>
      <w:marRight w:val="0"/>
      <w:marTop w:val="0"/>
      <w:marBottom w:val="0"/>
      <w:divBdr>
        <w:top w:val="none" w:sz="0" w:space="0" w:color="auto"/>
        <w:left w:val="none" w:sz="0" w:space="0" w:color="auto"/>
        <w:bottom w:val="none" w:sz="0" w:space="0" w:color="auto"/>
        <w:right w:val="none" w:sz="0" w:space="0" w:color="auto"/>
      </w:divBdr>
    </w:div>
    <w:div w:id="69890566">
      <w:bodyDiv w:val="1"/>
      <w:marLeft w:val="0"/>
      <w:marRight w:val="0"/>
      <w:marTop w:val="0"/>
      <w:marBottom w:val="0"/>
      <w:divBdr>
        <w:top w:val="none" w:sz="0" w:space="0" w:color="auto"/>
        <w:left w:val="none" w:sz="0" w:space="0" w:color="auto"/>
        <w:bottom w:val="none" w:sz="0" w:space="0" w:color="auto"/>
        <w:right w:val="none" w:sz="0" w:space="0" w:color="auto"/>
      </w:divBdr>
    </w:div>
    <w:div w:id="70853220">
      <w:bodyDiv w:val="1"/>
      <w:marLeft w:val="0"/>
      <w:marRight w:val="0"/>
      <w:marTop w:val="0"/>
      <w:marBottom w:val="0"/>
      <w:divBdr>
        <w:top w:val="none" w:sz="0" w:space="0" w:color="auto"/>
        <w:left w:val="none" w:sz="0" w:space="0" w:color="auto"/>
        <w:bottom w:val="none" w:sz="0" w:space="0" w:color="auto"/>
        <w:right w:val="none" w:sz="0" w:space="0" w:color="auto"/>
      </w:divBdr>
    </w:div>
    <w:div w:id="72632808">
      <w:bodyDiv w:val="1"/>
      <w:marLeft w:val="0"/>
      <w:marRight w:val="0"/>
      <w:marTop w:val="0"/>
      <w:marBottom w:val="0"/>
      <w:divBdr>
        <w:top w:val="none" w:sz="0" w:space="0" w:color="auto"/>
        <w:left w:val="none" w:sz="0" w:space="0" w:color="auto"/>
        <w:bottom w:val="none" w:sz="0" w:space="0" w:color="auto"/>
        <w:right w:val="none" w:sz="0" w:space="0" w:color="auto"/>
      </w:divBdr>
    </w:div>
    <w:div w:id="74131213">
      <w:bodyDiv w:val="1"/>
      <w:marLeft w:val="0"/>
      <w:marRight w:val="0"/>
      <w:marTop w:val="0"/>
      <w:marBottom w:val="0"/>
      <w:divBdr>
        <w:top w:val="none" w:sz="0" w:space="0" w:color="auto"/>
        <w:left w:val="none" w:sz="0" w:space="0" w:color="auto"/>
        <w:bottom w:val="none" w:sz="0" w:space="0" w:color="auto"/>
        <w:right w:val="none" w:sz="0" w:space="0" w:color="auto"/>
      </w:divBdr>
    </w:div>
    <w:div w:id="80225793">
      <w:bodyDiv w:val="1"/>
      <w:marLeft w:val="0"/>
      <w:marRight w:val="0"/>
      <w:marTop w:val="0"/>
      <w:marBottom w:val="0"/>
      <w:divBdr>
        <w:top w:val="none" w:sz="0" w:space="0" w:color="auto"/>
        <w:left w:val="none" w:sz="0" w:space="0" w:color="auto"/>
        <w:bottom w:val="none" w:sz="0" w:space="0" w:color="auto"/>
        <w:right w:val="none" w:sz="0" w:space="0" w:color="auto"/>
      </w:divBdr>
    </w:div>
    <w:div w:id="81075410">
      <w:bodyDiv w:val="1"/>
      <w:marLeft w:val="0"/>
      <w:marRight w:val="0"/>
      <w:marTop w:val="0"/>
      <w:marBottom w:val="0"/>
      <w:divBdr>
        <w:top w:val="none" w:sz="0" w:space="0" w:color="auto"/>
        <w:left w:val="none" w:sz="0" w:space="0" w:color="auto"/>
        <w:bottom w:val="none" w:sz="0" w:space="0" w:color="auto"/>
        <w:right w:val="none" w:sz="0" w:space="0" w:color="auto"/>
      </w:divBdr>
    </w:div>
    <w:div w:id="90588664">
      <w:bodyDiv w:val="1"/>
      <w:marLeft w:val="0"/>
      <w:marRight w:val="0"/>
      <w:marTop w:val="0"/>
      <w:marBottom w:val="0"/>
      <w:divBdr>
        <w:top w:val="none" w:sz="0" w:space="0" w:color="auto"/>
        <w:left w:val="none" w:sz="0" w:space="0" w:color="auto"/>
        <w:bottom w:val="none" w:sz="0" w:space="0" w:color="auto"/>
        <w:right w:val="none" w:sz="0" w:space="0" w:color="auto"/>
      </w:divBdr>
    </w:div>
    <w:div w:id="92209630">
      <w:bodyDiv w:val="1"/>
      <w:marLeft w:val="0"/>
      <w:marRight w:val="0"/>
      <w:marTop w:val="0"/>
      <w:marBottom w:val="0"/>
      <w:divBdr>
        <w:top w:val="none" w:sz="0" w:space="0" w:color="auto"/>
        <w:left w:val="none" w:sz="0" w:space="0" w:color="auto"/>
        <w:bottom w:val="none" w:sz="0" w:space="0" w:color="auto"/>
        <w:right w:val="none" w:sz="0" w:space="0" w:color="auto"/>
      </w:divBdr>
    </w:div>
    <w:div w:id="96558032">
      <w:bodyDiv w:val="1"/>
      <w:marLeft w:val="0"/>
      <w:marRight w:val="0"/>
      <w:marTop w:val="0"/>
      <w:marBottom w:val="0"/>
      <w:divBdr>
        <w:top w:val="none" w:sz="0" w:space="0" w:color="auto"/>
        <w:left w:val="none" w:sz="0" w:space="0" w:color="auto"/>
        <w:bottom w:val="none" w:sz="0" w:space="0" w:color="auto"/>
        <w:right w:val="none" w:sz="0" w:space="0" w:color="auto"/>
      </w:divBdr>
    </w:div>
    <w:div w:id="98725668">
      <w:bodyDiv w:val="1"/>
      <w:marLeft w:val="0"/>
      <w:marRight w:val="0"/>
      <w:marTop w:val="0"/>
      <w:marBottom w:val="0"/>
      <w:divBdr>
        <w:top w:val="none" w:sz="0" w:space="0" w:color="auto"/>
        <w:left w:val="none" w:sz="0" w:space="0" w:color="auto"/>
        <w:bottom w:val="none" w:sz="0" w:space="0" w:color="auto"/>
        <w:right w:val="none" w:sz="0" w:space="0" w:color="auto"/>
      </w:divBdr>
    </w:div>
    <w:div w:id="104421238">
      <w:bodyDiv w:val="1"/>
      <w:marLeft w:val="0"/>
      <w:marRight w:val="0"/>
      <w:marTop w:val="0"/>
      <w:marBottom w:val="0"/>
      <w:divBdr>
        <w:top w:val="none" w:sz="0" w:space="0" w:color="auto"/>
        <w:left w:val="none" w:sz="0" w:space="0" w:color="auto"/>
        <w:bottom w:val="none" w:sz="0" w:space="0" w:color="auto"/>
        <w:right w:val="none" w:sz="0" w:space="0" w:color="auto"/>
      </w:divBdr>
    </w:div>
    <w:div w:id="104425021">
      <w:bodyDiv w:val="1"/>
      <w:marLeft w:val="0"/>
      <w:marRight w:val="0"/>
      <w:marTop w:val="0"/>
      <w:marBottom w:val="0"/>
      <w:divBdr>
        <w:top w:val="none" w:sz="0" w:space="0" w:color="auto"/>
        <w:left w:val="none" w:sz="0" w:space="0" w:color="auto"/>
        <w:bottom w:val="none" w:sz="0" w:space="0" w:color="auto"/>
        <w:right w:val="none" w:sz="0" w:space="0" w:color="auto"/>
      </w:divBdr>
    </w:div>
    <w:div w:id="105738793">
      <w:bodyDiv w:val="1"/>
      <w:marLeft w:val="0"/>
      <w:marRight w:val="0"/>
      <w:marTop w:val="0"/>
      <w:marBottom w:val="0"/>
      <w:divBdr>
        <w:top w:val="none" w:sz="0" w:space="0" w:color="auto"/>
        <w:left w:val="none" w:sz="0" w:space="0" w:color="auto"/>
        <w:bottom w:val="none" w:sz="0" w:space="0" w:color="auto"/>
        <w:right w:val="none" w:sz="0" w:space="0" w:color="auto"/>
      </w:divBdr>
    </w:div>
    <w:div w:id="106124285">
      <w:bodyDiv w:val="1"/>
      <w:marLeft w:val="0"/>
      <w:marRight w:val="0"/>
      <w:marTop w:val="0"/>
      <w:marBottom w:val="0"/>
      <w:divBdr>
        <w:top w:val="none" w:sz="0" w:space="0" w:color="auto"/>
        <w:left w:val="none" w:sz="0" w:space="0" w:color="auto"/>
        <w:bottom w:val="none" w:sz="0" w:space="0" w:color="auto"/>
        <w:right w:val="none" w:sz="0" w:space="0" w:color="auto"/>
      </w:divBdr>
    </w:div>
    <w:div w:id="107550142">
      <w:bodyDiv w:val="1"/>
      <w:marLeft w:val="0"/>
      <w:marRight w:val="0"/>
      <w:marTop w:val="0"/>
      <w:marBottom w:val="0"/>
      <w:divBdr>
        <w:top w:val="none" w:sz="0" w:space="0" w:color="auto"/>
        <w:left w:val="none" w:sz="0" w:space="0" w:color="auto"/>
        <w:bottom w:val="none" w:sz="0" w:space="0" w:color="auto"/>
        <w:right w:val="none" w:sz="0" w:space="0" w:color="auto"/>
      </w:divBdr>
    </w:div>
    <w:div w:id="109785626">
      <w:bodyDiv w:val="1"/>
      <w:marLeft w:val="0"/>
      <w:marRight w:val="0"/>
      <w:marTop w:val="0"/>
      <w:marBottom w:val="0"/>
      <w:divBdr>
        <w:top w:val="none" w:sz="0" w:space="0" w:color="auto"/>
        <w:left w:val="none" w:sz="0" w:space="0" w:color="auto"/>
        <w:bottom w:val="none" w:sz="0" w:space="0" w:color="auto"/>
        <w:right w:val="none" w:sz="0" w:space="0" w:color="auto"/>
      </w:divBdr>
    </w:div>
    <w:div w:id="118573204">
      <w:bodyDiv w:val="1"/>
      <w:marLeft w:val="0"/>
      <w:marRight w:val="0"/>
      <w:marTop w:val="0"/>
      <w:marBottom w:val="0"/>
      <w:divBdr>
        <w:top w:val="none" w:sz="0" w:space="0" w:color="auto"/>
        <w:left w:val="none" w:sz="0" w:space="0" w:color="auto"/>
        <w:bottom w:val="none" w:sz="0" w:space="0" w:color="auto"/>
        <w:right w:val="none" w:sz="0" w:space="0" w:color="auto"/>
      </w:divBdr>
    </w:div>
    <w:div w:id="120392703">
      <w:bodyDiv w:val="1"/>
      <w:marLeft w:val="0"/>
      <w:marRight w:val="0"/>
      <w:marTop w:val="0"/>
      <w:marBottom w:val="0"/>
      <w:divBdr>
        <w:top w:val="none" w:sz="0" w:space="0" w:color="auto"/>
        <w:left w:val="none" w:sz="0" w:space="0" w:color="auto"/>
        <w:bottom w:val="none" w:sz="0" w:space="0" w:color="auto"/>
        <w:right w:val="none" w:sz="0" w:space="0" w:color="auto"/>
      </w:divBdr>
    </w:div>
    <w:div w:id="121920676">
      <w:bodyDiv w:val="1"/>
      <w:marLeft w:val="0"/>
      <w:marRight w:val="0"/>
      <w:marTop w:val="0"/>
      <w:marBottom w:val="0"/>
      <w:divBdr>
        <w:top w:val="none" w:sz="0" w:space="0" w:color="auto"/>
        <w:left w:val="none" w:sz="0" w:space="0" w:color="auto"/>
        <w:bottom w:val="none" w:sz="0" w:space="0" w:color="auto"/>
        <w:right w:val="none" w:sz="0" w:space="0" w:color="auto"/>
      </w:divBdr>
    </w:div>
    <w:div w:id="133062433">
      <w:bodyDiv w:val="1"/>
      <w:marLeft w:val="0"/>
      <w:marRight w:val="0"/>
      <w:marTop w:val="0"/>
      <w:marBottom w:val="0"/>
      <w:divBdr>
        <w:top w:val="none" w:sz="0" w:space="0" w:color="auto"/>
        <w:left w:val="none" w:sz="0" w:space="0" w:color="auto"/>
        <w:bottom w:val="none" w:sz="0" w:space="0" w:color="auto"/>
        <w:right w:val="none" w:sz="0" w:space="0" w:color="auto"/>
      </w:divBdr>
    </w:div>
    <w:div w:id="133254129">
      <w:bodyDiv w:val="1"/>
      <w:marLeft w:val="0"/>
      <w:marRight w:val="0"/>
      <w:marTop w:val="0"/>
      <w:marBottom w:val="0"/>
      <w:divBdr>
        <w:top w:val="none" w:sz="0" w:space="0" w:color="auto"/>
        <w:left w:val="none" w:sz="0" w:space="0" w:color="auto"/>
        <w:bottom w:val="none" w:sz="0" w:space="0" w:color="auto"/>
        <w:right w:val="none" w:sz="0" w:space="0" w:color="auto"/>
      </w:divBdr>
    </w:div>
    <w:div w:id="139078202">
      <w:bodyDiv w:val="1"/>
      <w:marLeft w:val="0"/>
      <w:marRight w:val="0"/>
      <w:marTop w:val="0"/>
      <w:marBottom w:val="0"/>
      <w:divBdr>
        <w:top w:val="none" w:sz="0" w:space="0" w:color="auto"/>
        <w:left w:val="none" w:sz="0" w:space="0" w:color="auto"/>
        <w:bottom w:val="none" w:sz="0" w:space="0" w:color="auto"/>
        <w:right w:val="none" w:sz="0" w:space="0" w:color="auto"/>
      </w:divBdr>
    </w:div>
    <w:div w:id="150215656">
      <w:bodyDiv w:val="1"/>
      <w:marLeft w:val="0"/>
      <w:marRight w:val="0"/>
      <w:marTop w:val="0"/>
      <w:marBottom w:val="0"/>
      <w:divBdr>
        <w:top w:val="none" w:sz="0" w:space="0" w:color="auto"/>
        <w:left w:val="none" w:sz="0" w:space="0" w:color="auto"/>
        <w:bottom w:val="none" w:sz="0" w:space="0" w:color="auto"/>
        <w:right w:val="none" w:sz="0" w:space="0" w:color="auto"/>
      </w:divBdr>
    </w:div>
    <w:div w:id="152113176">
      <w:bodyDiv w:val="1"/>
      <w:marLeft w:val="0"/>
      <w:marRight w:val="0"/>
      <w:marTop w:val="0"/>
      <w:marBottom w:val="0"/>
      <w:divBdr>
        <w:top w:val="none" w:sz="0" w:space="0" w:color="auto"/>
        <w:left w:val="none" w:sz="0" w:space="0" w:color="auto"/>
        <w:bottom w:val="none" w:sz="0" w:space="0" w:color="auto"/>
        <w:right w:val="none" w:sz="0" w:space="0" w:color="auto"/>
      </w:divBdr>
    </w:div>
    <w:div w:id="156311839">
      <w:bodyDiv w:val="1"/>
      <w:marLeft w:val="0"/>
      <w:marRight w:val="0"/>
      <w:marTop w:val="0"/>
      <w:marBottom w:val="0"/>
      <w:divBdr>
        <w:top w:val="none" w:sz="0" w:space="0" w:color="auto"/>
        <w:left w:val="none" w:sz="0" w:space="0" w:color="auto"/>
        <w:bottom w:val="none" w:sz="0" w:space="0" w:color="auto"/>
        <w:right w:val="none" w:sz="0" w:space="0" w:color="auto"/>
      </w:divBdr>
    </w:div>
    <w:div w:id="162478395">
      <w:bodyDiv w:val="1"/>
      <w:marLeft w:val="0"/>
      <w:marRight w:val="0"/>
      <w:marTop w:val="0"/>
      <w:marBottom w:val="0"/>
      <w:divBdr>
        <w:top w:val="none" w:sz="0" w:space="0" w:color="auto"/>
        <w:left w:val="none" w:sz="0" w:space="0" w:color="auto"/>
        <w:bottom w:val="none" w:sz="0" w:space="0" w:color="auto"/>
        <w:right w:val="none" w:sz="0" w:space="0" w:color="auto"/>
      </w:divBdr>
    </w:div>
    <w:div w:id="163397063">
      <w:bodyDiv w:val="1"/>
      <w:marLeft w:val="0"/>
      <w:marRight w:val="0"/>
      <w:marTop w:val="0"/>
      <w:marBottom w:val="0"/>
      <w:divBdr>
        <w:top w:val="none" w:sz="0" w:space="0" w:color="auto"/>
        <w:left w:val="none" w:sz="0" w:space="0" w:color="auto"/>
        <w:bottom w:val="none" w:sz="0" w:space="0" w:color="auto"/>
        <w:right w:val="none" w:sz="0" w:space="0" w:color="auto"/>
      </w:divBdr>
    </w:div>
    <w:div w:id="180701748">
      <w:bodyDiv w:val="1"/>
      <w:marLeft w:val="0"/>
      <w:marRight w:val="0"/>
      <w:marTop w:val="0"/>
      <w:marBottom w:val="0"/>
      <w:divBdr>
        <w:top w:val="none" w:sz="0" w:space="0" w:color="auto"/>
        <w:left w:val="none" w:sz="0" w:space="0" w:color="auto"/>
        <w:bottom w:val="none" w:sz="0" w:space="0" w:color="auto"/>
        <w:right w:val="none" w:sz="0" w:space="0" w:color="auto"/>
      </w:divBdr>
    </w:div>
    <w:div w:id="181867104">
      <w:bodyDiv w:val="1"/>
      <w:marLeft w:val="0"/>
      <w:marRight w:val="0"/>
      <w:marTop w:val="0"/>
      <w:marBottom w:val="0"/>
      <w:divBdr>
        <w:top w:val="none" w:sz="0" w:space="0" w:color="auto"/>
        <w:left w:val="none" w:sz="0" w:space="0" w:color="auto"/>
        <w:bottom w:val="none" w:sz="0" w:space="0" w:color="auto"/>
        <w:right w:val="none" w:sz="0" w:space="0" w:color="auto"/>
      </w:divBdr>
    </w:div>
    <w:div w:id="183835748">
      <w:bodyDiv w:val="1"/>
      <w:marLeft w:val="0"/>
      <w:marRight w:val="0"/>
      <w:marTop w:val="0"/>
      <w:marBottom w:val="0"/>
      <w:divBdr>
        <w:top w:val="none" w:sz="0" w:space="0" w:color="auto"/>
        <w:left w:val="none" w:sz="0" w:space="0" w:color="auto"/>
        <w:bottom w:val="none" w:sz="0" w:space="0" w:color="auto"/>
        <w:right w:val="none" w:sz="0" w:space="0" w:color="auto"/>
      </w:divBdr>
    </w:div>
    <w:div w:id="186262252">
      <w:bodyDiv w:val="1"/>
      <w:marLeft w:val="0"/>
      <w:marRight w:val="0"/>
      <w:marTop w:val="0"/>
      <w:marBottom w:val="0"/>
      <w:divBdr>
        <w:top w:val="none" w:sz="0" w:space="0" w:color="auto"/>
        <w:left w:val="none" w:sz="0" w:space="0" w:color="auto"/>
        <w:bottom w:val="none" w:sz="0" w:space="0" w:color="auto"/>
        <w:right w:val="none" w:sz="0" w:space="0" w:color="auto"/>
      </w:divBdr>
    </w:div>
    <w:div w:id="189270433">
      <w:bodyDiv w:val="1"/>
      <w:marLeft w:val="0"/>
      <w:marRight w:val="0"/>
      <w:marTop w:val="0"/>
      <w:marBottom w:val="0"/>
      <w:divBdr>
        <w:top w:val="none" w:sz="0" w:space="0" w:color="auto"/>
        <w:left w:val="none" w:sz="0" w:space="0" w:color="auto"/>
        <w:bottom w:val="none" w:sz="0" w:space="0" w:color="auto"/>
        <w:right w:val="none" w:sz="0" w:space="0" w:color="auto"/>
      </w:divBdr>
    </w:div>
    <w:div w:id="191117108">
      <w:bodyDiv w:val="1"/>
      <w:marLeft w:val="0"/>
      <w:marRight w:val="0"/>
      <w:marTop w:val="0"/>
      <w:marBottom w:val="0"/>
      <w:divBdr>
        <w:top w:val="none" w:sz="0" w:space="0" w:color="auto"/>
        <w:left w:val="none" w:sz="0" w:space="0" w:color="auto"/>
        <w:bottom w:val="none" w:sz="0" w:space="0" w:color="auto"/>
        <w:right w:val="none" w:sz="0" w:space="0" w:color="auto"/>
      </w:divBdr>
    </w:div>
    <w:div w:id="197552661">
      <w:bodyDiv w:val="1"/>
      <w:marLeft w:val="0"/>
      <w:marRight w:val="0"/>
      <w:marTop w:val="0"/>
      <w:marBottom w:val="0"/>
      <w:divBdr>
        <w:top w:val="none" w:sz="0" w:space="0" w:color="auto"/>
        <w:left w:val="none" w:sz="0" w:space="0" w:color="auto"/>
        <w:bottom w:val="none" w:sz="0" w:space="0" w:color="auto"/>
        <w:right w:val="none" w:sz="0" w:space="0" w:color="auto"/>
      </w:divBdr>
    </w:div>
    <w:div w:id="198248034">
      <w:bodyDiv w:val="1"/>
      <w:marLeft w:val="0"/>
      <w:marRight w:val="0"/>
      <w:marTop w:val="0"/>
      <w:marBottom w:val="0"/>
      <w:divBdr>
        <w:top w:val="none" w:sz="0" w:space="0" w:color="auto"/>
        <w:left w:val="none" w:sz="0" w:space="0" w:color="auto"/>
        <w:bottom w:val="none" w:sz="0" w:space="0" w:color="auto"/>
        <w:right w:val="none" w:sz="0" w:space="0" w:color="auto"/>
      </w:divBdr>
    </w:div>
    <w:div w:id="207645875">
      <w:bodyDiv w:val="1"/>
      <w:marLeft w:val="0"/>
      <w:marRight w:val="0"/>
      <w:marTop w:val="0"/>
      <w:marBottom w:val="0"/>
      <w:divBdr>
        <w:top w:val="none" w:sz="0" w:space="0" w:color="auto"/>
        <w:left w:val="none" w:sz="0" w:space="0" w:color="auto"/>
        <w:bottom w:val="none" w:sz="0" w:space="0" w:color="auto"/>
        <w:right w:val="none" w:sz="0" w:space="0" w:color="auto"/>
      </w:divBdr>
    </w:div>
    <w:div w:id="208879537">
      <w:bodyDiv w:val="1"/>
      <w:marLeft w:val="0"/>
      <w:marRight w:val="0"/>
      <w:marTop w:val="0"/>
      <w:marBottom w:val="0"/>
      <w:divBdr>
        <w:top w:val="none" w:sz="0" w:space="0" w:color="auto"/>
        <w:left w:val="none" w:sz="0" w:space="0" w:color="auto"/>
        <w:bottom w:val="none" w:sz="0" w:space="0" w:color="auto"/>
        <w:right w:val="none" w:sz="0" w:space="0" w:color="auto"/>
      </w:divBdr>
    </w:div>
    <w:div w:id="215698846">
      <w:bodyDiv w:val="1"/>
      <w:marLeft w:val="0"/>
      <w:marRight w:val="0"/>
      <w:marTop w:val="0"/>
      <w:marBottom w:val="0"/>
      <w:divBdr>
        <w:top w:val="none" w:sz="0" w:space="0" w:color="auto"/>
        <w:left w:val="none" w:sz="0" w:space="0" w:color="auto"/>
        <w:bottom w:val="none" w:sz="0" w:space="0" w:color="auto"/>
        <w:right w:val="none" w:sz="0" w:space="0" w:color="auto"/>
      </w:divBdr>
    </w:div>
    <w:div w:id="215825504">
      <w:bodyDiv w:val="1"/>
      <w:marLeft w:val="0"/>
      <w:marRight w:val="0"/>
      <w:marTop w:val="0"/>
      <w:marBottom w:val="0"/>
      <w:divBdr>
        <w:top w:val="none" w:sz="0" w:space="0" w:color="auto"/>
        <w:left w:val="none" w:sz="0" w:space="0" w:color="auto"/>
        <w:bottom w:val="none" w:sz="0" w:space="0" w:color="auto"/>
        <w:right w:val="none" w:sz="0" w:space="0" w:color="auto"/>
      </w:divBdr>
    </w:div>
    <w:div w:id="217785375">
      <w:bodyDiv w:val="1"/>
      <w:marLeft w:val="0"/>
      <w:marRight w:val="0"/>
      <w:marTop w:val="0"/>
      <w:marBottom w:val="0"/>
      <w:divBdr>
        <w:top w:val="none" w:sz="0" w:space="0" w:color="auto"/>
        <w:left w:val="none" w:sz="0" w:space="0" w:color="auto"/>
        <w:bottom w:val="none" w:sz="0" w:space="0" w:color="auto"/>
        <w:right w:val="none" w:sz="0" w:space="0" w:color="auto"/>
      </w:divBdr>
    </w:div>
    <w:div w:id="217791879">
      <w:bodyDiv w:val="1"/>
      <w:marLeft w:val="0"/>
      <w:marRight w:val="0"/>
      <w:marTop w:val="0"/>
      <w:marBottom w:val="0"/>
      <w:divBdr>
        <w:top w:val="none" w:sz="0" w:space="0" w:color="auto"/>
        <w:left w:val="none" w:sz="0" w:space="0" w:color="auto"/>
        <w:bottom w:val="none" w:sz="0" w:space="0" w:color="auto"/>
        <w:right w:val="none" w:sz="0" w:space="0" w:color="auto"/>
      </w:divBdr>
    </w:div>
    <w:div w:id="222329353">
      <w:bodyDiv w:val="1"/>
      <w:marLeft w:val="0"/>
      <w:marRight w:val="0"/>
      <w:marTop w:val="0"/>
      <w:marBottom w:val="0"/>
      <w:divBdr>
        <w:top w:val="none" w:sz="0" w:space="0" w:color="auto"/>
        <w:left w:val="none" w:sz="0" w:space="0" w:color="auto"/>
        <w:bottom w:val="none" w:sz="0" w:space="0" w:color="auto"/>
        <w:right w:val="none" w:sz="0" w:space="0" w:color="auto"/>
      </w:divBdr>
    </w:div>
    <w:div w:id="225146782">
      <w:bodyDiv w:val="1"/>
      <w:marLeft w:val="0"/>
      <w:marRight w:val="0"/>
      <w:marTop w:val="0"/>
      <w:marBottom w:val="0"/>
      <w:divBdr>
        <w:top w:val="none" w:sz="0" w:space="0" w:color="auto"/>
        <w:left w:val="none" w:sz="0" w:space="0" w:color="auto"/>
        <w:bottom w:val="none" w:sz="0" w:space="0" w:color="auto"/>
        <w:right w:val="none" w:sz="0" w:space="0" w:color="auto"/>
      </w:divBdr>
    </w:div>
    <w:div w:id="228462465">
      <w:bodyDiv w:val="1"/>
      <w:marLeft w:val="0"/>
      <w:marRight w:val="0"/>
      <w:marTop w:val="0"/>
      <w:marBottom w:val="0"/>
      <w:divBdr>
        <w:top w:val="none" w:sz="0" w:space="0" w:color="auto"/>
        <w:left w:val="none" w:sz="0" w:space="0" w:color="auto"/>
        <w:bottom w:val="none" w:sz="0" w:space="0" w:color="auto"/>
        <w:right w:val="none" w:sz="0" w:space="0" w:color="auto"/>
      </w:divBdr>
    </w:div>
    <w:div w:id="230972847">
      <w:bodyDiv w:val="1"/>
      <w:marLeft w:val="0"/>
      <w:marRight w:val="0"/>
      <w:marTop w:val="0"/>
      <w:marBottom w:val="0"/>
      <w:divBdr>
        <w:top w:val="none" w:sz="0" w:space="0" w:color="auto"/>
        <w:left w:val="none" w:sz="0" w:space="0" w:color="auto"/>
        <w:bottom w:val="none" w:sz="0" w:space="0" w:color="auto"/>
        <w:right w:val="none" w:sz="0" w:space="0" w:color="auto"/>
      </w:divBdr>
    </w:div>
    <w:div w:id="233586349">
      <w:bodyDiv w:val="1"/>
      <w:marLeft w:val="0"/>
      <w:marRight w:val="0"/>
      <w:marTop w:val="0"/>
      <w:marBottom w:val="0"/>
      <w:divBdr>
        <w:top w:val="none" w:sz="0" w:space="0" w:color="auto"/>
        <w:left w:val="none" w:sz="0" w:space="0" w:color="auto"/>
        <w:bottom w:val="none" w:sz="0" w:space="0" w:color="auto"/>
        <w:right w:val="none" w:sz="0" w:space="0" w:color="auto"/>
      </w:divBdr>
    </w:div>
    <w:div w:id="235894296">
      <w:bodyDiv w:val="1"/>
      <w:marLeft w:val="0"/>
      <w:marRight w:val="0"/>
      <w:marTop w:val="0"/>
      <w:marBottom w:val="0"/>
      <w:divBdr>
        <w:top w:val="none" w:sz="0" w:space="0" w:color="auto"/>
        <w:left w:val="none" w:sz="0" w:space="0" w:color="auto"/>
        <w:bottom w:val="none" w:sz="0" w:space="0" w:color="auto"/>
        <w:right w:val="none" w:sz="0" w:space="0" w:color="auto"/>
      </w:divBdr>
    </w:div>
    <w:div w:id="237205458">
      <w:bodyDiv w:val="1"/>
      <w:marLeft w:val="0"/>
      <w:marRight w:val="0"/>
      <w:marTop w:val="0"/>
      <w:marBottom w:val="0"/>
      <w:divBdr>
        <w:top w:val="none" w:sz="0" w:space="0" w:color="auto"/>
        <w:left w:val="none" w:sz="0" w:space="0" w:color="auto"/>
        <w:bottom w:val="none" w:sz="0" w:space="0" w:color="auto"/>
        <w:right w:val="none" w:sz="0" w:space="0" w:color="auto"/>
      </w:divBdr>
    </w:div>
    <w:div w:id="237718126">
      <w:bodyDiv w:val="1"/>
      <w:marLeft w:val="0"/>
      <w:marRight w:val="0"/>
      <w:marTop w:val="0"/>
      <w:marBottom w:val="0"/>
      <w:divBdr>
        <w:top w:val="none" w:sz="0" w:space="0" w:color="auto"/>
        <w:left w:val="none" w:sz="0" w:space="0" w:color="auto"/>
        <w:bottom w:val="none" w:sz="0" w:space="0" w:color="auto"/>
        <w:right w:val="none" w:sz="0" w:space="0" w:color="auto"/>
      </w:divBdr>
    </w:div>
    <w:div w:id="240914588">
      <w:bodyDiv w:val="1"/>
      <w:marLeft w:val="0"/>
      <w:marRight w:val="0"/>
      <w:marTop w:val="0"/>
      <w:marBottom w:val="0"/>
      <w:divBdr>
        <w:top w:val="none" w:sz="0" w:space="0" w:color="auto"/>
        <w:left w:val="none" w:sz="0" w:space="0" w:color="auto"/>
        <w:bottom w:val="none" w:sz="0" w:space="0" w:color="auto"/>
        <w:right w:val="none" w:sz="0" w:space="0" w:color="auto"/>
      </w:divBdr>
    </w:div>
    <w:div w:id="243993166">
      <w:bodyDiv w:val="1"/>
      <w:marLeft w:val="0"/>
      <w:marRight w:val="0"/>
      <w:marTop w:val="0"/>
      <w:marBottom w:val="0"/>
      <w:divBdr>
        <w:top w:val="none" w:sz="0" w:space="0" w:color="auto"/>
        <w:left w:val="none" w:sz="0" w:space="0" w:color="auto"/>
        <w:bottom w:val="none" w:sz="0" w:space="0" w:color="auto"/>
        <w:right w:val="none" w:sz="0" w:space="0" w:color="auto"/>
      </w:divBdr>
    </w:div>
    <w:div w:id="258687258">
      <w:bodyDiv w:val="1"/>
      <w:marLeft w:val="0"/>
      <w:marRight w:val="0"/>
      <w:marTop w:val="0"/>
      <w:marBottom w:val="0"/>
      <w:divBdr>
        <w:top w:val="none" w:sz="0" w:space="0" w:color="auto"/>
        <w:left w:val="none" w:sz="0" w:space="0" w:color="auto"/>
        <w:bottom w:val="none" w:sz="0" w:space="0" w:color="auto"/>
        <w:right w:val="none" w:sz="0" w:space="0" w:color="auto"/>
      </w:divBdr>
    </w:div>
    <w:div w:id="261838894">
      <w:bodyDiv w:val="1"/>
      <w:marLeft w:val="0"/>
      <w:marRight w:val="0"/>
      <w:marTop w:val="0"/>
      <w:marBottom w:val="0"/>
      <w:divBdr>
        <w:top w:val="none" w:sz="0" w:space="0" w:color="auto"/>
        <w:left w:val="none" w:sz="0" w:space="0" w:color="auto"/>
        <w:bottom w:val="none" w:sz="0" w:space="0" w:color="auto"/>
        <w:right w:val="none" w:sz="0" w:space="0" w:color="auto"/>
      </w:divBdr>
    </w:div>
    <w:div w:id="270207012">
      <w:bodyDiv w:val="1"/>
      <w:marLeft w:val="0"/>
      <w:marRight w:val="0"/>
      <w:marTop w:val="0"/>
      <w:marBottom w:val="0"/>
      <w:divBdr>
        <w:top w:val="none" w:sz="0" w:space="0" w:color="auto"/>
        <w:left w:val="none" w:sz="0" w:space="0" w:color="auto"/>
        <w:bottom w:val="none" w:sz="0" w:space="0" w:color="auto"/>
        <w:right w:val="none" w:sz="0" w:space="0" w:color="auto"/>
      </w:divBdr>
    </w:div>
    <w:div w:id="286858500">
      <w:bodyDiv w:val="1"/>
      <w:marLeft w:val="0"/>
      <w:marRight w:val="0"/>
      <w:marTop w:val="0"/>
      <w:marBottom w:val="0"/>
      <w:divBdr>
        <w:top w:val="none" w:sz="0" w:space="0" w:color="auto"/>
        <w:left w:val="none" w:sz="0" w:space="0" w:color="auto"/>
        <w:bottom w:val="none" w:sz="0" w:space="0" w:color="auto"/>
        <w:right w:val="none" w:sz="0" w:space="0" w:color="auto"/>
      </w:divBdr>
    </w:div>
    <w:div w:id="287703135">
      <w:bodyDiv w:val="1"/>
      <w:marLeft w:val="0"/>
      <w:marRight w:val="0"/>
      <w:marTop w:val="0"/>
      <w:marBottom w:val="0"/>
      <w:divBdr>
        <w:top w:val="none" w:sz="0" w:space="0" w:color="auto"/>
        <w:left w:val="none" w:sz="0" w:space="0" w:color="auto"/>
        <w:bottom w:val="none" w:sz="0" w:space="0" w:color="auto"/>
        <w:right w:val="none" w:sz="0" w:space="0" w:color="auto"/>
      </w:divBdr>
    </w:div>
    <w:div w:id="293752343">
      <w:bodyDiv w:val="1"/>
      <w:marLeft w:val="0"/>
      <w:marRight w:val="0"/>
      <w:marTop w:val="0"/>
      <w:marBottom w:val="0"/>
      <w:divBdr>
        <w:top w:val="none" w:sz="0" w:space="0" w:color="auto"/>
        <w:left w:val="none" w:sz="0" w:space="0" w:color="auto"/>
        <w:bottom w:val="none" w:sz="0" w:space="0" w:color="auto"/>
        <w:right w:val="none" w:sz="0" w:space="0" w:color="auto"/>
      </w:divBdr>
    </w:div>
    <w:div w:id="298920032">
      <w:bodyDiv w:val="1"/>
      <w:marLeft w:val="0"/>
      <w:marRight w:val="0"/>
      <w:marTop w:val="0"/>
      <w:marBottom w:val="0"/>
      <w:divBdr>
        <w:top w:val="none" w:sz="0" w:space="0" w:color="auto"/>
        <w:left w:val="none" w:sz="0" w:space="0" w:color="auto"/>
        <w:bottom w:val="none" w:sz="0" w:space="0" w:color="auto"/>
        <w:right w:val="none" w:sz="0" w:space="0" w:color="auto"/>
      </w:divBdr>
    </w:div>
    <w:div w:id="300423480">
      <w:bodyDiv w:val="1"/>
      <w:marLeft w:val="0"/>
      <w:marRight w:val="0"/>
      <w:marTop w:val="0"/>
      <w:marBottom w:val="0"/>
      <w:divBdr>
        <w:top w:val="none" w:sz="0" w:space="0" w:color="auto"/>
        <w:left w:val="none" w:sz="0" w:space="0" w:color="auto"/>
        <w:bottom w:val="none" w:sz="0" w:space="0" w:color="auto"/>
        <w:right w:val="none" w:sz="0" w:space="0" w:color="auto"/>
      </w:divBdr>
    </w:div>
    <w:div w:id="303434599">
      <w:bodyDiv w:val="1"/>
      <w:marLeft w:val="0"/>
      <w:marRight w:val="0"/>
      <w:marTop w:val="0"/>
      <w:marBottom w:val="0"/>
      <w:divBdr>
        <w:top w:val="none" w:sz="0" w:space="0" w:color="auto"/>
        <w:left w:val="none" w:sz="0" w:space="0" w:color="auto"/>
        <w:bottom w:val="none" w:sz="0" w:space="0" w:color="auto"/>
        <w:right w:val="none" w:sz="0" w:space="0" w:color="auto"/>
      </w:divBdr>
    </w:div>
    <w:div w:id="307172504">
      <w:bodyDiv w:val="1"/>
      <w:marLeft w:val="0"/>
      <w:marRight w:val="0"/>
      <w:marTop w:val="0"/>
      <w:marBottom w:val="0"/>
      <w:divBdr>
        <w:top w:val="none" w:sz="0" w:space="0" w:color="auto"/>
        <w:left w:val="none" w:sz="0" w:space="0" w:color="auto"/>
        <w:bottom w:val="none" w:sz="0" w:space="0" w:color="auto"/>
        <w:right w:val="none" w:sz="0" w:space="0" w:color="auto"/>
      </w:divBdr>
    </w:div>
    <w:div w:id="318535660">
      <w:bodyDiv w:val="1"/>
      <w:marLeft w:val="0"/>
      <w:marRight w:val="0"/>
      <w:marTop w:val="0"/>
      <w:marBottom w:val="0"/>
      <w:divBdr>
        <w:top w:val="none" w:sz="0" w:space="0" w:color="auto"/>
        <w:left w:val="none" w:sz="0" w:space="0" w:color="auto"/>
        <w:bottom w:val="none" w:sz="0" w:space="0" w:color="auto"/>
        <w:right w:val="none" w:sz="0" w:space="0" w:color="auto"/>
      </w:divBdr>
    </w:div>
    <w:div w:id="324742387">
      <w:bodyDiv w:val="1"/>
      <w:marLeft w:val="0"/>
      <w:marRight w:val="0"/>
      <w:marTop w:val="0"/>
      <w:marBottom w:val="0"/>
      <w:divBdr>
        <w:top w:val="none" w:sz="0" w:space="0" w:color="auto"/>
        <w:left w:val="none" w:sz="0" w:space="0" w:color="auto"/>
        <w:bottom w:val="none" w:sz="0" w:space="0" w:color="auto"/>
        <w:right w:val="none" w:sz="0" w:space="0" w:color="auto"/>
      </w:divBdr>
    </w:div>
    <w:div w:id="337737887">
      <w:bodyDiv w:val="1"/>
      <w:marLeft w:val="0"/>
      <w:marRight w:val="0"/>
      <w:marTop w:val="0"/>
      <w:marBottom w:val="0"/>
      <w:divBdr>
        <w:top w:val="none" w:sz="0" w:space="0" w:color="auto"/>
        <w:left w:val="none" w:sz="0" w:space="0" w:color="auto"/>
        <w:bottom w:val="none" w:sz="0" w:space="0" w:color="auto"/>
        <w:right w:val="none" w:sz="0" w:space="0" w:color="auto"/>
      </w:divBdr>
    </w:div>
    <w:div w:id="338653409">
      <w:bodyDiv w:val="1"/>
      <w:marLeft w:val="0"/>
      <w:marRight w:val="0"/>
      <w:marTop w:val="0"/>
      <w:marBottom w:val="0"/>
      <w:divBdr>
        <w:top w:val="none" w:sz="0" w:space="0" w:color="auto"/>
        <w:left w:val="none" w:sz="0" w:space="0" w:color="auto"/>
        <w:bottom w:val="none" w:sz="0" w:space="0" w:color="auto"/>
        <w:right w:val="none" w:sz="0" w:space="0" w:color="auto"/>
      </w:divBdr>
    </w:div>
    <w:div w:id="339628732">
      <w:bodyDiv w:val="1"/>
      <w:marLeft w:val="0"/>
      <w:marRight w:val="0"/>
      <w:marTop w:val="0"/>
      <w:marBottom w:val="0"/>
      <w:divBdr>
        <w:top w:val="none" w:sz="0" w:space="0" w:color="auto"/>
        <w:left w:val="none" w:sz="0" w:space="0" w:color="auto"/>
        <w:bottom w:val="none" w:sz="0" w:space="0" w:color="auto"/>
        <w:right w:val="none" w:sz="0" w:space="0" w:color="auto"/>
      </w:divBdr>
    </w:div>
    <w:div w:id="341710192">
      <w:bodyDiv w:val="1"/>
      <w:marLeft w:val="0"/>
      <w:marRight w:val="0"/>
      <w:marTop w:val="0"/>
      <w:marBottom w:val="0"/>
      <w:divBdr>
        <w:top w:val="none" w:sz="0" w:space="0" w:color="auto"/>
        <w:left w:val="none" w:sz="0" w:space="0" w:color="auto"/>
        <w:bottom w:val="none" w:sz="0" w:space="0" w:color="auto"/>
        <w:right w:val="none" w:sz="0" w:space="0" w:color="auto"/>
      </w:divBdr>
    </w:div>
    <w:div w:id="345862122">
      <w:bodyDiv w:val="1"/>
      <w:marLeft w:val="0"/>
      <w:marRight w:val="0"/>
      <w:marTop w:val="0"/>
      <w:marBottom w:val="0"/>
      <w:divBdr>
        <w:top w:val="none" w:sz="0" w:space="0" w:color="auto"/>
        <w:left w:val="none" w:sz="0" w:space="0" w:color="auto"/>
        <w:bottom w:val="none" w:sz="0" w:space="0" w:color="auto"/>
        <w:right w:val="none" w:sz="0" w:space="0" w:color="auto"/>
      </w:divBdr>
    </w:div>
    <w:div w:id="349456151">
      <w:bodyDiv w:val="1"/>
      <w:marLeft w:val="0"/>
      <w:marRight w:val="0"/>
      <w:marTop w:val="0"/>
      <w:marBottom w:val="0"/>
      <w:divBdr>
        <w:top w:val="none" w:sz="0" w:space="0" w:color="auto"/>
        <w:left w:val="none" w:sz="0" w:space="0" w:color="auto"/>
        <w:bottom w:val="none" w:sz="0" w:space="0" w:color="auto"/>
        <w:right w:val="none" w:sz="0" w:space="0" w:color="auto"/>
      </w:divBdr>
    </w:div>
    <w:div w:id="353772329">
      <w:bodyDiv w:val="1"/>
      <w:marLeft w:val="0"/>
      <w:marRight w:val="0"/>
      <w:marTop w:val="0"/>
      <w:marBottom w:val="0"/>
      <w:divBdr>
        <w:top w:val="none" w:sz="0" w:space="0" w:color="auto"/>
        <w:left w:val="none" w:sz="0" w:space="0" w:color="auto"/>
        <w:bottom w:val="none" w:sz="0" w:space="0" w:color="auto"/>
        <w:right w:val="none" w:sz="0" w:space="0" w:color="auto"/>
      </w:divBdr>
    </w:div>
    <w:div w:id="355039301">
      <w:bodyDiv w:val="1"/>
      <w:marLeft w:val="0"/>
      <w:marRight w:val="0"/>
      <w:marTop w:val="0"/>
      <w:marBottom w:val="0"/>
      <w:divBdr>
        <w:top w:val="none" w:sz="0" w:space="0" w:color="auto"/>
        <w:left w:val="none" w:sz="0" w:space="0" w:color="auto"/>
        <w:bottom w:val="none" w:sz="0" w:space="0" w:color="auto"/>
        <w:right w:val="none" w:sz="0" w:space="0" w:color="auto"/>
      </w:divBdr>
    </w:div>
    <w:div w:id="357203735">
      <w:bodyDiv w:val="1"/>
      <w:marLeft w:val="0"/>
      <w:marRight w:val="0"/>
      <w:marTop w:val="0"/>
      <w:marBottom w:val="0"/>
      <w:divBdr>
        <w:top w:val="none" w:sz="0" w:space="0" w:color="auto"/>
        <w:left w:val="none" w:sz="0" w:space="0" w:color="auto"/>
        <w:bottom w:val="none" w:sz="0" w:space="0" w:color="auto"/>
        <w:right w:val="none" w:sz="0" w:space="0" w:color="auto"/>
      </w:divBdr>
    </w:div>
    <w:div w:id="369885441">
      <w:bodyDiv w:val="1"/>
      <w:marLeft w:val="0"/>
      <w:marRight w:val="0"/>
      <w:marTop w:val="0"/>
      <w:marBottom w:val="0"/>
      <w:divBdr>
        <w:top w:val="none" w:sz="0" w:space="0" w:color="auto"/>
        <w:left w:val="none" w:sz="0" w:space="0" w:color="auto"/>
        <w:bottom w:val="none" w:sz="0" w:space="0" w:color="auto"/>
        <w:right w:val="none" w:sz="0" w:space="0" w:color="auto"/>
      </w:divBdr>
    </w:div>
    <w:div w:id="369962150">
      <w:bodyDiv w:val="1"/>
      <w:marLeft w:val="0"/>
      <w:marRight w:val="0"/>
      <w:marTop w:val="0"/>
      <w:marBottom w:val="0"/>
      <w:divBdr>
        <w:top w:val="none" w:sz="0" w:space="0" w:color="auto"/>
        <w:left w:val="none" w:sz="0" w:space="0" w:color="auto"/>
        <w:bottom w:val="none" w:sz="0" w:space="0" w:color="auto"/>
        <w:right w:val="none" w:sz="0" w:space="0" w:color="auto"/>
      </w:divBdr>
    </w:div>
    <w:div w:id="376703933">
      <w:bodyDiv w:val="1"/>
      <w:marLeft w:val="0"/>
      <w:marRight w:val="0"/>
      <w:marTop w:val="0"/>
      <w:marBottom w:val="0"/>
      <w:divBdr>
        <w:top w:val="none" w:sz="0" w:space="0" w:color="auto"/>
        <w:left w:val="none" w:sz="0" w:space="0" w:color="auto"/>
        <w:bottom w:val="none" w:sz="0" w:space="0" w:color="auto"/>
        <w:right w:val="none" w:sz="0" w:space="0" w:color="auto"/>
      </w:divBdr>
    </w:div>
    <w:div w:id="377170937">
      <w:bodyDiv w:val="1"/>
      <w:marLeft w:val="0"/>
      <w:marRight w:val="0"/>
      <w:marTop w:val="0"/>
      <w:marBottom w:val="0"/>
      <w:divBdr>
        <w:top w:val="none" w:sz="0" w:space="0" w:color="auto"/>
        <w:left w:val="none" w:sz="0" w:space="0" w:color="auto"/>
        <w:bottom w:val="none" w:sz="0" w:space="0" w:color="auto"/>
        <w:right w:val="none" w:sz="0" w:space="0" w:color="auto"/>
      </w:divBdr>
    </w:div>
    <w:div w:id="378671884">
      <w:bodyDiv w:val="1"/>
      <w:marLeft w:val="0"/>
      <w:marRight w:val="0"/>
      <w:marTop w:val="0"/>
      <w:marBottom w:val="0"/>
      <w:divBdr>
        <w:top w:val="none" w:sz="0" w:space="0" w:color="auto"/>
        <w:left w:val="none" w:sz="0" w:space="0" w:color="auto"/>
        <w:bottom w:val="none" w:sz="0" w:space="0" w:color="auto"/>
        <w:right w:val="none" w:sz="0" w:space="0" w:color="auto"/>
      </w:divBdr>
    </w:div>
    <w:div w:id="379089760">
      <w:bodyDiv w:val="1"/>
      <w:marLeft w:val="0"/>
      <w:marRight w:val="0"/>
      <w:marTop w:val="0"/>
      <w:marBottom w:val="0"/>
      <w:divBdr>
        <w:top w:val="none" w:sz="0" w:space="0" w:color="auto"/>
        <w:left w:val="none" w:sz="0" w:space="0" w:color="auto"/>
        <w:bottom w:val="none" w:sz="0" w:space="0" w:color="auto"/>
        <w:right w:val="none" w:sz="0" w:space="0" w:color="auto"/>
      </w:divBdr>
    </w:div>
    <w:div w:id="395130345">
      <w:bodyDiv w:val="1"/>
      <w:marLeft w:val="0"/>
      <w:marRight w:val="0"/>
      <w:marTop w:val="0"/>
      <w:marBottom w:val="0"/>
      <w:divBdr>
        <w:top w:val="none" w:sz="0" w:space="0" w:color="auto"/>
        <w:left w:val="none" w:sz="0" w:space="0" w:color="auto"/>
        <w:bottom w:val="none" w:sz="0" w:space="0" w:color="auto"/>
        <w:right w:val="none" w:sz="0" w:space="0" w:color="auto"/>
      </w:divBdr>
    </w:div>
    <w:div w:id="402261469">
      <w:bodyDiv w:val="1"/>
      <w:marLeft w:val="0"/>
      <w:marRight w:val="0"/>
      <w:marTop w:val="0"/>
      <w:marBottom w:val="0"/>
      <w:divBdr>
        <w:top w:val="none" w:sz="0" w:space="0" w:color="auto"/>
        <w:left w:val="none" w:sz="0" w:space="0" w:color="auto"/>
        <w:bottom w:val="none" w:sz="0" w:space="0" w:color="auto"/>
        <w:right w:val="none" w:sz="0" w:space="0" w:color="auto"/>
      </w:divBdr>
    </w:div>
    <w:div w:id="402604719">
      <w:bodyDiv w:val="1"/>
      <w:marLeft w:val="0"/>
      <w:marRight w:val="0"/>
      <w:marTop w:val="0"/>
      <w:marBottom w:val="0"/>
      <w:divBdr>
        <w:top w:val="none" w:sz="0" w:space="0" w:color="auto"/>
        <w:left w:val="none" w:sz="0" w:space="0" w:color="auto"/>
        <w:bottom w:val="none" w:sz="0" w:space="0" w:color="auto"/>
        <w:right w:val="none" w:sz="0" w:space="0" w:color="auto"/>
      </w:divBdr>
    </w:div>
    <w:div w:id="406268978">
      <w:bodyDiv w:val="1"/>
      <w:marLeft w:val="0"/>
      <w:marRight w:val="0"/>
      <w:marTop w:val="0"/>
      <w:marBottom w:val="0"/>
      <w:divBdr>
        <w:top w:val="none" w:sz="0" w:space="0" w:color="auto"/>
        <w:left w:val="none" w:sz="0" w:space="0" w:color="auto"/>
        <w:bottom w:val="none" w:sz="0" w:space="0" w:color="auto"/>
        <w:right w:val="none" w:sz="0" w:space="0" w:color="auto"/>
      </w:divBdr>
    </w:div>
    <w:div w:id="410665967">
      <w:bodyDiv w:val="1"/>
      <w:marLeft w:val="0"/>
      <w:marRight w:val="0"/>
      <w:marTop w:val="0"/>
      <w:marBottom w:val="0"/>
      <w:divBdr>
        <w:top w:val="none" w:sz="0" w:space="0" w:color="auto"/>
        <w:left w:val="none" w:sz="0" w:space="0" w:color="auto"/>
        <w:bottom w:val="none" w:sz="0" w:space="0" w:color="auto"/>
        <w:right w:val="none" w:sz="0" w:space="0" w:color="auto"/>
      </w:divBdr>
    </w:div>
    <w:div w:id="412119651">
      <w:bodyDiv w:val="1"/>
      <w:marLeft w:val="0"/>
      <w:marRight w:val="0"/>
      <w:marTop w:val="0"/>
      <w:marBottom w:val="0"/>
      <w:divBdr>
        <w:top w:val="none" w:sz="0" w:space="0" w:color="auto"/>
        <w:left w:val="none" w:sz="0" w:space="0" w:color="auto"/>
        <w:bottom w:val="none" w:sz="0" w:space="0" w:color="auto"/>
        <w:right w:val="none" w:sz="0" w:space="0" w:color="auto"/>
      </w:divBdr>
    </w:div>
    <w:div w:id="413667532">
      <w:bodyDiv w:val="1"/>
      <w:marLeft w:val="0"/>
      <w:marRight w:val="0"/>
      <w:marTop w:val="0"/>
      <w:marBottom w:val="0"/>
      <w:divBdr>
        <w:top w:val="none" w:sz="0" w:space="0" w:color="auto"/>
        <w:left w:val="none" w:sz="0" w:space="0" w:color="auto"/>
        <w:bottom w:val="none" w:sz="0" w:space="0" w:color="auto"/>
        <w:right w:val="none" w:sz="0" w:space="0" w:color="auto"/>
      </w:divBdr>
    </w:div>
    <w:div w:id="418068070">
      <w:bodyDiv w:val="1"/>
      <w:marLeft w:val="0"/>
      <w:marRight w:val="0"/>
      <w:marTop w:val="0"/>
      <w:marBottom w:val="0"/>
      <w:divBdr>
        <w:top w:val="none" w:sz="0" w:space="0" w:color="auto"/>
        <w:left w:val="none" w:sz="0" w:space="0" w:color="auto"/>
        <w:bottom w:val="none" w:sz="0" w:space="0" w:color="auto"/>
        <w:right w:val="none" w:sz="0" w:space="0" w:color="auto"/>
      </w:divBdr>
    </w:div>
    <w:div w:id="427317424">
      <w:bodyDiv w:val="1"/>
      <w:marLeft w:val="0"/>
      <w:marRight w:val="0"/>
      <w:marTop w:val="0"/>
      <w:marBottom w:val="0"/>
      <w:divBdr>
        <w:top w:val="none" w:sz="0" w:space="0" w:color="auto"/>
        <w:left w:val="none" w:sz="0" w:space="0" w:color="auto"/>
        <w:bottom w:val="none" w:sz="0" w:space="0" w:color="auto"/>
        <w:right w:val="none" w:sz="0" w:space="0" w:color="auto"/>
      </w:divBdr>
    </w:div>
    <w:div w:id="455681207">
      <w:bodyDiv w:val="1"/>
      <w:marLeft w:val="0"/>
      <w:marRight w:val="0"/>
      <w:marTop w:val="0"/>
      <w:marBottom w:val="0"/>
      <w:divBdr>
        <w:top w:val="none" w:sz="0" w:space="0" w:color="auto"/>
        <w:left w:val="none" w:sz="0" w:space="0" w:color="auto"/>
        <w:bottom w:val="none" w:sz="0" w:space="0" w:color="auto"/>
        <w:right w:val="none" w:sz="0" w:space="0" w:color="auto"/>
      </w:divBdr>
    </w:div>
    <w:div w:id="457142417">
      <w:bodyDiv w:val="1"/>
      <w:marLeft w:val="0"/>
      <w:marRight w:val="0"/>
      <w:marTop w:val="0"/>
      <w:marBottom w:val="0"/>
      <w:divBdr>
        <w:top w:val="none" w:sz="0" w:space="0" w:color="auto"/>
        <w:left w:val="none" w:sz="0" w:space="0" w:color="auto"/>
        <w:bottom w:val="none" w:sz="0" w:space="0" w:color="auto"/>
        <w:right w:val="none" w:sz="0" w:space="0" w:color="auto"/>
      </w:divBdr>
    </w:div>
    <w:div w:id="461120327">
      <w:bodyDiv w:val="1"/>
      <w:marLeft w:val="0"/>
      <w:marRight w:val="0"/>
      <w:marTop w:val="0"/>
      <w:marBottom w:val="0"/>
      <w:divBdr>
        <w:top w:val="none" w:sz="0" w:space="0" w:color="auto"/>
        <w:left w:val="none" w:sz="0" w:space="0" w:color="auto"/>
        <w:bottom w:val="none" w:sz="0" w:space="0" w:color="auto"/>
        <w:right w:val="none" w:sz="0" w:space="0" w:color="auto"/>
      </w:divBdr>
    </w:div>
    <w:div w:id="462313581">
      <w:bodyDiv w:val="1"/>
      <w:marLeft w:val="0"/>
      <w:marRight w:val="0"/>
      <w:marTop w:val="0"/>
      <w:marBottom w:val="0"/>
      <w:divBdr>
        <w:top w:val="none" w:sz="0" w:space="0" w:color="auto"/>
        <w:left w:val="none" w:sz="0" w:space="0" w:color="auto"/>
        <w:bottom w:val="none" w:sz="0" w:space="0" w:color="auto"/>
        <w:right w:val="none" w:sz="0" w:space="0" w:color="auto"/>
      </w:divBdr>
    </w:div>
    <w:div w:id="468018357">
      <w:bodyDiv w:val="1"/>
      <w:marLeft w:val="0"/>
      <w:marRight w:val="0"/>
      <w:marTop w:val="0"/>
      <w:marBottom w:val="0"/>
      <w:divBdr>
        <w:top w:val="none" w:sz="0" w:space="0" w:color="auto"/>
        <w:left w:val="none" w:sz="0" w:space="0" w:color="auto"/>
        <w:bottom w:val="none" w:sz="0" w:space="0" w:color="auto"/>
        <w:right w:val="none" w:sz="0" w:space="0" w:color="auto"/>
      </w:divBdr>
    </w:div>
    <w:div w:id="472408149">
      <w:bodyDiv w:val="1"/>
      <w:marLeft w:val="0"/>
      <w:marRight w:val="0"/>
      <w:marTop w:val="0"/>
      <w:marBottom w:val="0"/>
      <w:divBdr>
        <w:top w:val="none" w:sz="0" w:space="0" w:color="auto"/>
        <w:left w:val="none" w:sz="0" w:space="0" w:color="auto"/>
        <w:bottom w:val="none" w:sz="0" w:space="0" w:color="auto"/>
        <w:right w:val="none" w:sz="0" w:space="0" w:color="auto"/>
      </w:divBdr>
    </w:div>
    <w:div w:id="475881504">
      <w:bodyDiv w:val="1"/>
      <w:marLeft w:val="0"/>
      <w:marRight w:val="0"/>
      <w:marTop w:val="0"/>
      <w:marBottom w:val="0"/>
      <w:divBdr>
        <w:top w:val="none" w:sz="0" w:space="0" w:color="auto"/>
        <w:left w:val="none" w:sz="0" w:space="0" w:color="auto"/>
        <w:bottom w:val="none" w:sz="0" w:space="0" w:color="auto"/>
        <w:right w:val="none" w:sz="0" w:space="0" w:color="auto"/>
      </w:divBdr>
    </w:div>
    <w:div w:id="476797160">
      <w:bodyDiv w:val="1"/>
      <w:marLeft w:val="0"/>
      <w:marRight w:val="0"/>
      <w:marTop w:val="0"/>
      <w:marBottom w:val="0"/>
      <w:divBdr>
        <w:top w:val="none" w:sz="0" w:space="0" w:color="auto"/>
        <w:left w:val="none" w:sz="0" w:space="0" w:color="auto"/>
        <w:bottom w:val="none" w:sz="0" w:space="0" w:color="auto"/>
        <w:right w:val="none" w:sz="0" w:space="0" w:color="auto"/>
      </w:divBdr>
    </w:div>
    <w:div w:id="477842824">
      <w:bodyDiv w:val="1"/>
      <w:marLeft w:val="0"/>
      <w:marRight w:val="0"/>
      <w:marTop w:val="0"/>
      <w:marBottom w:val="0"/>
      <w:divBdr>
        <w:top w:val="none" w:sz="0" w:space="0" w:color="auto"/>
        <w:left w:val="none" w:sz="0" w:space="0" w:color="auto"/>
        <w:bottom w:val="none" w:sz="0" w:space="0" w:color="auto"/>
        <w:right w:val="none" w:sz="0" w:space="0" w:color="auto"/>
      </w:divBdr>
    </w:div>
    <w:div w:id="484708088">
      <w:bodyDiv w:val="1"/>
      <w:marLeft w:val="0"/>
      <w:marRight w:val="0"/>
      <w:marTop w:val="0"/>
      <w:marBottom w:val="0"/>
      <w:divBdr>
        <w:top w:val="none" w:sz="0" w:space="0" w:color="auto"/>
        <w:left w:val="none" w:sz="0" w:space="0" w:color="auto"/>
        <w:bottom w:val="none" w:sz="0" w:space="0" w:color="auto"/>
        <w:right w:val="none" w:sz="0" w:space="0" w:color="auto"/>
      </w:divBdr>
    </w:div>
    <w:div w:id="486626656">
      <w:bodyDiv w:val="1"/>
      <w:marLeft w:val="0"/>
      <w:marRight w:val="0"/>
      <w:marTop w:val="0"/>
      <w:marBottom w:val="0"/>
      <w:divBdr>
        <w:top w:val="none" w:sz="0" w:space="0" w:color="auto"/>
        <w:left w:val="none" w:sz="0" w:space="0" w:color="auto"/>
        <w:bottom w:val="none" w:sz="0" w:space="0" w:color="auto"/>
        <w:right w:val="none" w:sz="0" w:space="0" w:color="auto"/>
      </w:divBdr>
    </w:div>
    <w:div w:id="488332709">
      <w:bodyDiv w:val="1"/>
      <w:marLeft w:val="0"/>
      <w:marRight w:val="0"/>
      <w:marTop w:val="0"/>
      <w:marBottom w:val="0"/>
      <w:divBdr>
        <w:top w:val="none" w:sz="0" w:space="0" w:color="auto"/>
        <w:left w:val="none" w:sz="0" w:space="0" w:color="auto"/>
        <w:bottom w:val="none" w:sz="0" w:space="0" w:color="auto"/>
        <w:right w:val="none" w:sz="0" w:space="0" w:color="auto"/>
      </w:divBdr>
    </w:div>
    <w:div w:id="489099170">
      <w:bodyDiv w:val="1"/>
      <w:marLeft w:val="0"/>
      <w:marRight w:val="0"/>
      <w:marTop w:val="0"/>
      <w:marBottom w:val="0"/>
      <w:divBdr>
        <w:top w:val="none" w:sz="0" w:space="0" w:color="auto"/>
        <w:left w:val="none" w:sz="0" w:space="0" w:color="auto"/>
        <w:bottom w:val="none" w:sz="0" w:space="0" w:color="auto"/>
        <w:right w:val="none" w:sz="0" w:space="0" w:color="auto"/>
      </w:divBdr>
    </w:div>
    <w:div w:id="496194395">
      <w:bodyDiv w:val="1"/>
      <w:marLeft w:val="0"/>
      <w:marRight w:val="0"/>
      <w:marTop w:val="0"/>
      <w:marBottom w:val="0"/>
      <w:divBdr>
        <w:top w:val="none" w:sz="0" w:space="0" w:color="auto"/>
        <w:left w:val="none" w:sz="0" w:space="0" w:color="auto"/>
        <w:bottom w:val="none" w:sz="0" w:space="0" w:color="auto"/>
        <w:right w:val="none" w:sz="0" w:space="0" w:color="auto"/>
      </w:divBdr>
    </w:div>
    <w:div w:id="508443411">
      <w:bodyDiv w:val="1"/>
      <w:marLeft w:val="0"/>
      <w:marRight w:val="0"/>
      <w:marTop w:val="0"/>
      <w:marBottom w:val="0"/>
      <w:divBdr>
        <w:top w:val="none" w:sz="0" w:space="0" w:color="auto"/>
        <w:left w:val="none" w:sz="0" w:space="0" w:color="auto"/>
        <w:bottom w:val="none" w:sz="0" w:space="0" w:color="auto"/>
        <w:right w:val="none" w:sz="0" w:space="0" w:color="auto"/>
      </w:divBdr>
    </w:div>
    <w:div w:id="512956704">
      <w:bodyDiv w:val="1"/>
      <w:marLeft w:val="0"/>
      <w:marRight w:val="0"/>
      <w:marTop w:val="0"/>
      <w:marBottom w:val="0"/>
      <w:divBdr>
        <w:top w:val="none" w:sz="0" w:space="0" w:color="auto"/>
        <w:left w:val="none" w:sz="0" w:space="0" w:color="auto"/>
        <w:bottom w:val="none" w:sz="0" w:space="0" w:color="auto"/>
        <w:right w:val="none" w:sz="0" w:space="0" w:color="auto"/>
      </w:divBdr>
    </w:div>
    <w:div w:id="515389202">
      <w:bodyDiv w:val="1"/>
      <w:marLeft w:val="0"/>
      <w:marRight w:val="0"/>
      <w:marTop w:val="0"/>
      <w:marBottom w:val="0"/>
      <w:divBdr>
        <w:top w:val="none" w:sz="0" w:space="0" w:color="auto"/>
        <w:left w:val="none" w:sz="0" w:space="0" w:color="auto"/>
        <w:bottom w:val="none" w:sz="0" w:space="0" w:color="auto"/>
        <w:right w:val="none" w:sz="0" w:space="0" w:color="auto"/>
      </w:divBdr>
    </w:div>
    <w:div w:id="522981148">
      <w:bodyDiv w:val="1"/>
      <w:marLeft w:val="0"/>
      <w:marRight w:val="0"/>
      <w:marTop w:val="0"/>
      <w:marBottom w:val="0"/>
      <w:divBdr>
        <w:top w:val="none" w:sz="0" w:space="0" w:color="auto"/>
        <w:left w:val="none" w:sz="0" w:space="0" w:color="auto"/>
        <w:bottom w:val="none" w:sz="0" w:space="0" w:color="auto"/>
        <w:right w:val="none" w:sz="0" w:space="0" w:color="auto"/>
      </w:divBdr>
    </w:div>
    <w:div w:id="523252145">
      <w:bodyDiv w:val="1"/>
      <w:marLeft w:val="0"/>
      <w:marRight w:val="0"/>
      <w:marTop w:val="0"/>
      <w:marBottom w:val="0"/>
      <w:divBdr>
        <w:top w:val="none" w:sz="0" w:space="0" w:color="auto"/>
        <w:left w:val="none" w:sz="0" w:space="0" w:color="auto"/>
        <w:bottom w:val="none" w:sz="0" w:space="0" w:color="auto"/>
        <w:right w:val="none" w:sz="0" w:space="0" w:color="auto"/>
      </w:divBdr>
    </w:div>
    <w:div w:id="524099093">
      <w:bodyDiv w:val="1"/>
      <w:marLeft w:val="0"/>
      <w:marRight w:val="0"/>
      <w:marTop w:val="0"/>
      <w:marBottom w:val="0"/>
      <w:divBdr>
        <w:top w:val="none" w:sz="0" w:space="0" w:color="auto"/>
        <w:left w:val="none" w:sz="0" w:space="0" w:color="auto"/>
        <w:bottom w:val="none" w:sz="0" w:space="0" w:color="auto"/>
        <w:right w:val="none" w:sz="0" w:space="0" w:color="auto"/>
      </w:divBdr>
    </w:div>
    <w:div w:id="526066620">
      <w:bodyDiv w:val="1"/>
      <w:marLeft w:val="0"/>
      <w:marRight w:val="0"/>
      <w:marTop w:val="0"/>
      <w:marBottom w:val="0"/>
      <w:divBdr>
        <w:top w:val="none" w:sz="0" w:space="0" w:color="auto"/>
        <w:left w:val="none" w:sz="0" w:space="0" w:color="auto"/>
        <w:bottom w:val="none" w:sz="0" w:space="0" w:color="auto"/>
        <w:right w:val="none" w:sz="0" w:space="0" w:color="auto"/>
      </w:divBdr>
    </w:div>
    <w:div w:id="526797332">
      <w:bodyDiv w:val="1"/>
      <w:marLeft w:val="0"/>
      <w:marRight w:val="0"/>
      <w:marTop w:val="0"/>
      <w:marBottom w:val="0"/>
      <w:divBdr>
        <w:top w:val="none" w:sz="0" w:space="0" w:color="auto"/>
        <w:left w:val="none" w:sz="0" w:space="0" w:color="auto"/>
        <w:bottom w:val="none" w:sz="0" w:space="0" w:color="auto"/>
        <w:right w:val="none" w:sz="0" w:space="0" w:color="auto"/>
      </w:divBdr>
    </w:div>
    <w:div w:id="527331298">
      <w:bodyDiv w:val="1"/>
      <w:marLeft w:val="0"/>
      <w:marRight w:val="0"/>
      <w:marTop w:val="0"/>
      <w:marBottom w:val="0"/>
      <w:divBdr>
        <w:top w:val="none" w:sz="0" w:space="0" w:color="auto"/>
        <w:left w:val="none" w:sz="0" w:space="0" w:color="auto"/>
        <w:bottom w:val="none" w:sz="0" w:space="0" w:color="auto"/>
        <w:right w:val="none" w:sz="0" w:space="0" w:color="auto"/>
      </w:divBdr>
    </w:div>
    <w:div w:id="530799137">
      <w:bodyDiv w:val="1"/>
      <w:marLeft w:val="0"/>
      <w:marRight w:val="0"/>
      <w:marTop w:val="0"/>
      <w:marBottom w:val="0"/>
      <w:divBdr>
        <w:top w:val="none" w:sz="0" w:space="0" w:color="auto"/>
        <w:left w:val="none" w:sz="0" w:space="0" w:color="auto"/>
        <w:bottom w:val="none" w:sz="0" w:space="0" w:color="auto"/>
        <w:right w:val="none" w:sz="0" w:space="0" w:color="auto"/>
      </w:divBdr>
    </w:div>
    <w:div w:id="532696467">
      <w:bodyDiv w:val="1"/>
      <w:marLeft w:val="0"/>
      <w:marRight w:val="0"/>
      <w:marTop w:val="0"/>
      <w:marBottom w:val="0"/>
      <w:divBdr>
        <w:top w:val="none" w:sz="0" w:space="0" w:color="auto"/>
        <w:left w:val="none" w:sz="0" w:space="0" w:color="auto"/>
        <w:bottom w:val="none" w:sz="0" w:space="0" w:color="auto"/>
        <w:right w:val="none" w:sz="0" w:space="0" w:color="auto"/>
      </w:divBdr>
    </w:div>
    <w:div w:id="533884511">
      <w:bodyDiv w:val="1"/>
      <w:marLeft w:val="0"/>
      <w:marRight w:val="0"/>
      <w:marTop w:val="0"/>
      <w:marBottom w:val="0"/>
      <w:divBdr>
        <w:top w:val="none" w:sz="0" w:space="0" w:color="auto"/>
        <w:left w:val="none" w:sz="0" w:space="0" w:color="auto"/>
        <w:bottom w:val="none" w:sz="0" w:space="0" w:color="auto"/>
        <w:right w:val="none" w:sz="0" w:space="0" w:color="auto"/>
      </w:divBdr>
    </w:div>
    <w:div w:id="536089668">
      <w:bodyDiv w:val="1"/>
      <w:marLeft w:val="0"/>
      <w:marRight w:val="0"/>
      <w:marTop w:val="0"/>
      <w:marBottom w:val="0"/>
      <w:divBdr>
        <w:top w:val="none" w:sz="0" w:space="0" w:color="auto"/>
        <w:left w:val="none" w:sz="0" w:space="0" w:color="auto"/>
        <w:bottom w:val="none" w:sz="0" w:space="0" w:color="auto"/>
        <w:right w:val="none" w:sz="0" w:space="0" w:color="auto"/>
      </w:divBdr>
    </w:div>
    <w:div w:id="538518315">
      <w:bodyDiv w:val="1"/>
      <w:marLeft w:val="0"/>
      <w:marRight w:val="0"/>
      <w:marTop w:val="0"/>
      <w:marBottom w:val="0"/>
      <w:divBdr>
        <w:top w:val="none" w:sz="0" w:space="0" w:color="auto"/>
        <w:left w:val="none" w:sz="0" w:space="0" w:color="auto"/>
        <w:bottom w:val="none" w:sz="0" w:space="0" w:color="auto"/>
        <w:right w:val="none" w:sz="0" w:space="0" w:color="auto"/>
      </w:divBdr>
    </w:div>
    <w:div w:id="550113434">
      <w:bodyDiv w:val="1"/>
      <w:marLeft w:val="0"/>
      <w:marRight w:val="0"/>
      <w:marTop w:val="0"/>
      <w:marBottom w:val="0"/>
      <w:divBdr>
        <w:top w:val="none" w:sz="0" w:space="0" w:color="auto"/>
        <w:left w:val="none" w:sz="0" w:space="0" w:color="auto"/>
        <w:bottom w:val="none" w:sz="0" w:space="0" w:color="auto"/>
        <w:right w:val="none" w:sz="0" w:space="0" w:color="auto"/>
      </w:divBdr>
    </w:div>
    <w:div w:id="552737764">
      <w:bodyDiv w:val="1"/>
      <w:marLeft w:val="0"/>
      <w:marRight w:val="0"/>
      <w:marTop w:val="0"/>
      <w:marBottom w:val="0"/>
      <w:divBdr>
        <w:top w:val="none" w:sz="0" w:space="0" w:color="auto"/>
        <w:left w:val="none" w:sz="0" w:space="0" w:color="auto"/>
        <w:bottom w:val="none" w:sz="0" w:space="0" w:color="auto"/>
        <w:right w:val="none" w:sz="0" w:space="0" w:color="auto"/>
      </w:divBdr>
    </w:div>
    <w:div w:id="553662096">
      <w:bodyDiv w:val="1"/>
      <w:marLeft w:val="0"/>
      <w:marRight w:val="0"/>
      <w:marTop w:val="0"/>
      <w:marBottom w:val="0"/>
      <w:divBdr>
        <w:top w:val="none" w:sz="0" w:space="0" w:color="auto"/>
        <w:left w:val="none" w:sz="0" w:space="0" w:color="auto"/>
        <w:bottom w:val="none" w:sz="0" w:space="0" w:color="auto"/>
        <w:right w:val="none" w:sz="0" w:space="0" w:color="auto"/>
      </w:divBdr>
    </w:div>
    <w:div w:id="554975993">
      <w:bodyDiv w:val="1"/>
      <w:marLeft w:val="0"/>
      <w:marRight w:val="0"/>
      <w:marTop w:val="0"/>
      <w:marBottom w:val="0"/>
      <w:divBdr>
        <w:top w:val="none" w:sz="0" w:space="0" w:color="auto"/>
        <w:left w:val="none" w:sz="0" w:space="0" w:color="auto"/>
        <w:bottom w:val="none" w:sz="0" w:space="0" w:color="auto"/>
        <w:right w:val="none" w:sz="0" w:space="0" w:color="auto"/>
      </w:divBdr>
    </w:div>
    <w:div w:id="556938072">
      <w:bodyDiv w:val="1"/>
      <w:marLeft w:val="0"/>
      <w:marRight w:val="0"/>
      <w:marTop w:val="0"/>
      <w:marBottom w:val="0"/>
      <w:divBdr>
        <w:top w:val="none" w:sz="0" w:space="0" w:color="auto"/>
        <w:left w:val="none" w:sz="0" w:space="0" w:color="auto"/>
        <w:bottom w:val="none" w:sz="0" w:space="0" w:color="auto"/>
        <w:right w:val="none" w:sz="0" w:space="0" w:color="auto"/>
      </w:divBdr>
    </w:div>
    <w:div w:id="557280718">
      <w:bodyDiv w:val="1"/>
      <w:marLeft w:val="0"/>
      <w:marRight w:val="0"/>
      <w:marTop w:val="0"/>
      <w:marBottom w:val="0"/>
      <w:divBdr>
        <w:top w:val="none" w:sz="0" w:space="0" w:color="auto"/>
        <w:left w:val="none" w:sz="0" w:space="0" w:color="auto"/>
        <w:bottom w:val="none" w:sz="0" w:space="0" w:color="auto"/>
        <w:right w:val="none" w:sz="0" w:space="0" w:color="auto"/>
      </w:divBdr>
    </w:div>
    <w:div w:id="559445565">
      <w:bodyDiv w:val="1"/>
      <w:marLeft w:val="0"/>
      <w:marRight w:val="0"/>
      <w:marTop w:val="0"/>
      <w:marBottom w:val="0"/>
      <w:divBdr>
        <w:top w:val="none" w:sz="0" w:space="0" w:color="auto"/>
        <w:left w:val="none" w:sz="0" w:space="0" w:color="auto"/>
        <w:bottom w:val="none" w:sz="0" w:space="0" w:color="auto"/>
        <w:right w:val="none" w:sz="0" w:space="0" w:color="auto"/>
      </w:divBdr>
    </w:div>
    <w:div w:id="562327629">
      <w:bodyDiv w:val="1"/>
      <w:marLeft w:val="0"/>
      <w:marRight w:val="0"/>
      <w:marTop w:val="0"/>
      <w:marBottom w:val="0"/>
      <w:divBdr>
        <w:top w:val="none" w:sz="0" w:space="0" w:color="auto"/>
        <w:left w:val="none" w:sz="0" w:space="0" w:color="auto"/>
        <w:bottom w:val="none" w:sz="0" w:space="0" w:color="auto"/>
        <w:right w:val="none" w:sz="0" w:space="0" w:color="auto"/>
      </w:divBdr>
    </w:div>
    <w:div w:id="563100685">
      <w:bodyDiv w:val="1"/>
      <w:marLeft w:val="0"/>
      <w:marRight w:val="0"/>
      <w:marTop w:val="0"/>
      <w:marBottom w:val="0"/>
      <w:divBdr>
        <w:top w:val="none" w:sz="0" w:space="0" w:color="auto"/>
        <w:left w:val="none" w:sz="0" w:space="0" w:color="auto"/>
        <w:bottom w:val="none" w:sz="0" w:space="0" w:color="auto"/>
        <w:right w:val="none" w:sz="0" w:space="0" w:color="auto"/>
      </w:divBdr>
    </w:div>
    <w:div w:id="566918138">
      <w:bodyDiv w:val="1"/>
      <w:marLeft w:val="0"/>
      <w:marRight w:val="0"/>
      <w:marTop w:val="0"/>
      <w:marBottom w:val="0"/>
      <w:divBdr>
        <w:top w:val="none" w:sz="0" w:space="0" w:color="auto"/>
        <w:left w:val="none" w:sz="0" w:space="0" w:color="auto"/>
        <w:bottom w:val="none" w:sz="0" w:space="0" w:color="auto"/>
        <w:right w:val="none" w:sz="0" w:space="0" w:color="auto"/>
      </w:divBdr>
    </w:div>
    <w:div w:id="572810998">
      <w:bodyDiv w:val="1"/>
      <w:marLeft w:val="0"/>
      <w:marRight w:val="0"/>
      <w:marTop w:val="0"/>
      <w:marBottom w:val="0"/>
      <w:divBdr>
        <w:top w:val="none" w:sz="0" w:space="0" w:color="auto"/>
        <w:left w:val="none" w:sz="0" w:space="0" w:color="auto"/>
        <w:bottom w:val="none" w:sz="0" w:space="0" w:color="auto"/>
        <w:right w:val="none" w:sz="0" w:space="0" w:color="auto"/>
      </w:divBdr>
    </w:div>
    <w:div w:id="574243426">
      <w:bodyDiv w:val="1"/>
      <w:marLeft w:val="0"/>
      <w:marRight w:val="0"/>
      <w:marTop w:val="0"/>
      <w:marBottom w:val="0"/>
      <w:divBdr>
        <w:top w:val="none" w:sz="0" w:space="0" w:color="auto"/>
        <w:left w:val="none" w:sz="0" w:space="0" w:color="auto"/>
        <w:bottom w:val="none" w:sz="0" w:space="0" w:color="auto"/>
        <w:right w:val="none" w:sz="0" w:space="0" w:color="auto"/>
      </w:divBdr>
    </w:div>
    <w:div w:id="574515306">
      <w:bodyDiv w:val="1"/>
      <w:marLeft w:val="0"/>
      <w:marRight w:val="0"/>
      <w:marTop w:val="0"/>
      <w:marBottom w:val="0"/>
      <w:divBdr>
        <w:top w:val="none" w:sz="0" w:space="0" w:color="auto"/>
        <w:left w:val="none" w:sz="0" w:space="0" w:color="auto"/>
        <w:bottom w:val="none" w:sz="0" w:space="0" w:color="auto"/>
        <w:right w:val="none" w:sz="0" w:space="0" w:color="auto"/>
      </w:divBdr>
    </w:div>
    <w:div w:id="580259814">
      <w:bodyDiv w:val="1"/>
      <w:marLeft w:val="0"/>
      <w:marRight w:val="0"/>
      <w:marTop w:val="0"/>
      <w:marBottom w:val="0"/>
      <w:divBdr>
        <w:top w:val="none" w:sz="0" w:space="0" w:color="auto"/>
        <w:left w:val="none" w:sz="0" w:space="0" w:color="auto"/>
        <w:bottom w:val="none" w:sz="0" w:space="0" w:color="auto"/>
        <w:right w:val="none" w:sz="0" w:space="0" w:color="auto"/>
      </w:divBdr>
    </w:div>
    <w:div w:id="581567958">
      <w:bodyDiv w:val="1"/>
      <w:marLeft w:val="0"/>
      <w:marRight w:val="0"/>
      <w:marTop w:val="0"/>
      <w:marBottom w:val="0"/>
      <w:divBdr>
        <w:top w:val="none" w:sz="0" w:space="0" w:color="auto"/>
        <w:left w:val="none" w:sz="0" w:space="0" w:color="auto"/>
        <w:bottom w:val="none" w:sz="0" w:space="0" w:color="auto"/>
        <w:right w:val="none" w:sz="0" w:space="0" w:color="auto"/>
      </w:divBdr>
    </w:div>
    <w:div w:id="583533033">
      <w:bodyDiv w:val="1"/>
      <w:marLeft w:val="0"/>
      <w:marRight w:val="0"/>
      <w:marTop w:val="0"/>
      <w:marBottom w:val="0"/>
      <w:divBdr>
        <w:top w:val="none" w:sz="0" w:space="0" w:color="auto"/>
        <w:left w:val="none" w:sz="0" w:space="0" w:color="auto"/>
        <w:bottom w:val="none" w:sz="0" w:space="0" w:color="auto"/>
        <w:right w:val="none" w:sz="0" w:space="0" w:color="auto"/>
      </w:divBdr>
    </w:div>
    <w:div w:id="584581598">
      <w:bodyDiv w:val="1"/>
      <w:marLeft w:val="0"/>
      <w:marRight w:val="0"/>
      <w:marTop w:val="0"/>
      <w:marBottom w:val="0"/>
      <w:divBdr>
        <w:top w:val="none" w:sz="0" w:space="0" w:color="auto"/>
        <w:left w:val="none" w:sz="0" w:space="0" w:color="auto"/>
        <w:bottom w:val="none" w:sz="0" w:space="0" w:color="auto"/>
        <w:right w:val="none" w:sz="0" w:space="0" w:color="auto"/>
      </w:divBdr>
    </w:div>
    <w:div w:id="585261754">
      <w:bodyDiv w:val="1"/>
      <w:marLeft w:val="0"/>
      <w:marRight w:val="0"/>
      <w:marTop w:val="0"/>
      <w:marBottom w:val="0"/>
      <w:divBdr>
        <w:top w:val="none" w:sz="0" w:space="0" w:color="auto"/>
        <w:left w:val="none" w:sz="0" w:space="0" w:color="auto"/>
        <w:bottom w:val="none" w:sz="0" w:space="0" w:color="auto"/>
        <w:right w:val="none" w:sz="0" w:space="0" w:color="auto"/>
      </w:divBdr>
    </w:div>
    <w:div w:id="586963591">
      <w:bodyDiv w:val="1"/>
      <w:marLeft w:val="0"/>
      <w:marRight w:val="0"/>
      <w:marTop w:val="0"/>
      <w:marBottom w:val="0"/>
      <w:divBdr>
        <w:top w:val="none" w:sz="0" w:space="0" w:color="auto"/>
        <w:left w:val="none" w:sz="0" w:space="0" w:color="auto"/>
        <w:bottom w:val="none" w:sz="0" w:space="0" w:color="auto"/>
        <w:right w:val="none" w:sz="0" w:space="0" w:color="auto"/>
      </w:divBdr>
    </w:div>
    <w:div w:id="590236472">
      <w:bodyDiv w:val="1"/>
      <w:marLeft w:val="0"/>
      <w:marRight w:val="0"/>
      <w:marTop w:val="0"/>
      <w:marBottom w:val="0"/>
      <w:divBdr>
        <w:top w:val="none" w:sz="0" w:space="0" w:color="auto"/>
        <w:left w:val="none" w:sz="0" w:space="0" w:color="auto"/>
        <w:bottom w:val="none" w:sz="0" w:space="0" w:color="auto"/>
        <w:right w:val="none" w:sz="0" w:space="0" w:color="auto"/>
      </w:divBdr>
    </w:div>
    <w:div w:id="594553103">
      <w:bodyDiv w:val="1"/>
      <w:marLeft w:val="0"/>
      <w:marRight w:val="0"/>
      <w:marTop w:val="0"/>
      <w:marBottom w:val="0"/>
      <w:divBdr>
        <w:top w:val="none" w:sz="0" w:space="0" w:color="auto"/>
        <w:left w:val="none" w:sz="0" w:space="0" w:color="auto"/>
        <w:bottom w:val="none" w:sz="0" w:space="0" w:color="auto"/>
        <w:right w:val="none" w:sz="0" w:space="0" w:color="auto"/>
      </w:divBdr>
    </w:div>
    <w:div w:id="594897167">
      <w:bodyDiv w:val="1"/>
      <w:marLeft w:val="0"/>
      <w:marRight w:val="0"/>
      <w:marTop w:val="0"/>
      <w:marBottom w:val="0"/>
      <w:divBdr>
        <w:top w:val="none" w:sz="0" w:space="0" w:color="auto"/>
        <w:left w:val="none" w:sz="0" w:space="0" w:color="auto"/>
        <w:bottom w:val="none" w:sz="0" w:space="0" w:color="auto"/>
        <w:right w:val="none" w:sz="0" w:space="0" w:color="auto"/>
      </w:divBdr>
    </w:div>
    <w:div w:id="597103335">
      <w:bodyDiv w:val="1"/>
      <w:marLeft w:val="0"/>
      <w:marRight w:val="0"/>
      <w:marTop w:val="0"/>
      <w:marBottom w:val="0"/>
      <w:divBdr>
        <w:top w:val="none" w:sz="0" w:space="0" w:color="auto"/>
        <w:left w:val="none" w:sz="0" w:space="0" w:color="auto"/>
        <w:bottom w:val="none" w:sz="0" w:space="0" w:color="auto"/>
        <w:right w:val="none" w:sz="0" w:space="0" w:color="auto"/>
      </w:divBdr>
    </w:div>
    <w:div w:id="600994539">
      <w:bodyDiv w:val="1"/>
      <w:marLeft w:val="0"/>
      <w:marRight w:val="0"/>
      <w:marTop w:val="0"/>
      <w:marBottom w:val="0"/>
      <w:divBdr>
        <w:top w:val="none" w:sz="0" w:space="0" w:color="auto"/>
        <w:left w:val="none" w:sz="0" w:space="0" w:color="auto"/>
        <w:bottom w:val="none" w:sz="0" w:space="0" w:color="auto"/>
        <w:right w:val="none" w:sz="0" w:space="0" w:color="auto"/>
      </w:divBdr>
    </w:div>
    <w:div w:id="603728211">
      <w:bodyDiv w:val="1"/>
      <w:marLeft w:val="0"/>
      <w:marRight w:val="0"/>
      <w:marTop w:val="0"/>
      <w:marBottom w:val="0"/>
      <w:divBdr>
        <w:top w:val="none" w:sz="0" w:space="0" w:color="auto"/>
        <w:left w:val="none" w:sz="0" w:space="0" w:color="auto"/>
        <w:bottom w:val="none" w:sz="0" w:space="0" w:color="auto"/>
        <w:right w:val="none" w:sz="0" w:space="0" w:color="auto"/>
      </w:divBdr>
    </w:div>
    <w:div w:id="605891183">
      <w:bodyDiv w:val="1"/>
      <w:marLeft w:val="0"/>
      <w:marRight w:val="0"/>
      <w:marTop w:val="0"/>
      <w:marBottom w:val="0"/>
      <w:divBdr>
        <w:top w:val="none" w:sz="0" w:space="0" w:color="auto"/>
        <w:left w:val="none" w:sz="0" w:space="0" w:color="auto"/>
        <w:bottom w:val="none" w:sz="0" w:space="0" w:color="auto"/>
        <w:right w:val="none" w:sz="0" w:space="0" w:color="auto"/>
      </w:divBdr>
    </w:div>
    <w:div w:id="611476601">
      <w:bodyDiv w:val="1"/>
      <w:marLeft w:val="0"/>
      <w:marRight w:val="0"/>
      <w:marTop w:val="0"/>
      <w:marBottom w:val="0"/>
      <w:divBdr>
        <w:top w:val="none" w:sz="0" w:space="0" w:color="auto"/>
        <w:left w:val="none" w:sz="0" w:space="0" w:color="auto"/>
        <w:bottom w:val="none" w:sz="0" w:space="0" w:color="auto"/>
        <w:right w:val="none" w:sz="0" w:space="0" w:color="auto"/>
      </w:divBdr>
    </w:div>
    <w:div w:id="616302272">
      <w:bodyDiv w:val="1"/>
      <w:marLeft w:val="0"/>
      <w:marRight w:val="0"/>
      <w:marTop w:val="0"/>
      <w:marBottom w:val="0"/>
      <w:divBdr>
        <w:top w:val="none" w:sz="0" w:space="0" w:color="auto"/>
        <w:left w:val="none" w:sz="0" w:space="0" w:color="auto"/>
        <w:bottom w:val="none" w:sz="0" w:space="0" w:color="auto"/>
        <w:right w:val="none" w:sz="0" w:space="0" w:color="auto"/>
      </w:divBdr>
    </w:div>
    <w:div w:id="619261954">
      <w:bodyDiv w:val="1"/>
      <w:marLeft w:val="0"/>
      <w:marRight w:val="0"/>
      <w:marTop w:val="0"/>
      <w:marBottom w:val="0"/>
      <w:divBdr>
        <w:top w:val="none" w:sz="0" w:space="0" w:color="auto"/>
        <w:left w:val="none" w:sz="0" w:space="0" w:color="auto"/>
        <w:bottom w:val="none" w:sz="0" w:space="0" w:color="auto"/>
        <w:right w:val="none" w:sz="0" w:space="0" w:color="auto"/>
      </w:divBdr>
    </w:div>
    <w:div w:id="620846253">
      <w:bodyDiv w:val="1"/>
      <w:marLeft w:val="0"/>
      <w:marRight w:val="0"/>
      <w:marTop w:val="0"/>
      <w:marBottom w:val="0"/>
      <w:divBdr>
        <w:top w:val="none" w:sz="0" w:space="0" w:color="auto"/>
        <w:left w:val="none" w:sz="0" w:space="0" w:color="auto"/>
        <w:bottom w:val="none" w:sz="0" w:space="0" w:color="auto"/>
        <w:right w:val="none" w:sz="0" w:space="0" w:color="auto"/>
      </w:divBdr>
    </w:div>
    <w:div w:id="624315643">
      <w:bodyDiv w:val="1"/>
      <w:marLeft w:val="0"/>
      <w:marRight w:val="0"/>
      <w:marTop w:val="0"/>
      <w:marBottom w:val="0"/>
      <w:divBdr>
        <w:top w:val="none" w:sz="0" w:space="0" w:color="auto"/>
        <w:left w:val="none" w:sz="0" w:space="0" w:color="auto"/>
        <w:bottom w:val="none" w:sz="0" w:space="0" w:color="auto"/>
        <w:right w:val="none" w:sz="0" w:space="0" w:color="auto"/>
      </w:divBdr>
    </w:div>
    <w:div w:id="624777808">
      <w:bodyDiv w:val="1"/>
      <w:marLeft w:val="0"/>
      <w:marRight w:val="0"/>
      <w:marTop w:val="0"/>
      <w:marBottom w:val="0"/>
      <w:divBdr>
        <w:top w:val="none" w:sz="0" w:space="0" w:color="auto"/>
        <w:left w:val="none" w:sz="0" w:space="0" w:color="auto"/>
        <w:bottom w:val="none" w:sz="0" w:space="0" w:color="auto"/>
        <w:right w:val="none" w:sz="0" w:space="0" w:color="auto"/>
      </w:divBdr>
    </w:div>
    <w:div w:id="624848345">
      <w:bodyDiv w:val="1"/>
      <w:marLeft w:val="0"/>
      <w:marRight w:val="0"/>
      <w:marTop w:val="0"/>
      <w:marBottom w:val="0"/>
      <w:divBdr>
        <w:top w:val="none" w:sz="0" w:space="0" w:color="auto"/>
        <w:left w:val="none" w:sz="0" w:space="0" w:color="auto"/>
        <w:bottom w:val="none" w:sz="0" w:space="0" w:color="auto"/>
        <w:right w:val="none" w:sz="0" w:space="0" w:color="auto"/>
      </w:divBdr>
    </w:div>
    <w:div w:id="626081971">
      <w:bodyDiv w:val="1"/>
      <w:marLeft w:val="0"/>
      <w:marRight w:val="0"/>
      <w:marTop w:val="0"/>
      <w:marBottom w:val="0"/>
      <w:divBdr>
        <w:top w:val="none" w:sz="0" w:space="0" w:color="auto"/>
        <w:left w:val="none" w:sz="0" w:space="0" w:color="auto"/>
        <w:bottom w:val="none" w:sz="0" w:space="0" w:color="auto"/>
        <w:right w:val="none" w:sz="0" w:space="0" w:color="auto"/>
      </w:divBdr>
    </w:div>
    <w:div w:id="626743391">
      <w:bodyDiv w:val="1"/>
      <w:marLeft w:val="0"/>
      <w:marRight w:val="0"/>
      <w:marTop w:val="0"/>
      <w:marBottom w:val="0"/>
      <w:divBdr>
        <w:top w:val="none" w:sz="0" w:space="0" w:color="auto"/>
        <w:left w:val="none" w:sz="0" w:space="0" w:color="auto"/>
        <w:bottom w:val="none" w:sz="0" w:space="0" w:color="auto"/>
        <w:right w:val="none" w:sz="0" w:space="0" w:color="auto"/>
      </w:divBdr>
    </w:div>
    <w:div w:id="631524147">
      <w:bodyDiv w:val="1"/>
      <w:marLeft w:val="0"/>
      <w:marRight w:val="0"/>
      <w:marTop w:val="0"/>
      <w:marBottom w:val="0"/>
      <w:divBdr>
        <w:top w:val="none" w:sz="0" w:space="0" w:color="auto"/>
        <w:left w:val="none" w:sz="0" w:space="0" w:color="auto"/>
        <w:bottom w:val="none" w:sz="0" w:space="0" w:color="auto"/>
        <w:right w:val="none" w:sz="0" w:space="0" w:color="auto"/>
      </w:divBdr>
    </w:div>
    <w:div w:id="632950875">
      <w:bodyDiv w:val="1"/>
      <w:marLeft w:val="0"/>
      <w:marRight w:val="0"/>
      <w:marTop w:val="0"/>
      <w:marBottom w:val="0"/>
      <w:divBdr>
        <w:top w:val="none" w:sz="0" w:space="0" w:color="auto"/>
        <w:left w:val="none" w:sz="0" w:space="0" w:color="auto"/>
        <w:bottom w:val="none" w:sz="0" w:space="0" w:color="auto"/>
        <w:right w:val="none" w:sz="0" w:space="0" w:color="auto"/>
      </w:divBdr>
    </w:div>
    <w:div w:id="633753702">
      <w:bodyDiv w:val="1"/>
      <w:marLeft w:val="0"/>
      <w:marRight w:val="0"/>
      <w:marTop w:val="0"/>
      <w:marBottom w:val="0"/>
      <w:divBdr>
        <w:top w:val="none" w:sz="0" w:space="0" w:color="auto"/>
        <w:left w:val="none" w:sz="0" w:space="0" w:color="auto"/>
        <w:bottom w:val="none" w:sz="0" w:space="0" w:color="auto"/>
        <w:right w:val="none" w:sz="0" w:space="0" w:color="auto"/>
      </w:divBdr>
    </w:div>
    <w:div w:id="637951928">
      <w:bodyDiv w:val="1"/>
      <w:marLeft w:val="0"/>
      <w:marRight w:val="0"/>
      <w:marTop w:val="0"/>
      <w:marBottom w:val="0"/>
      <w:divBdr>
        <w:top w:val="none" w:sz="0" w:space="0" w:color="auto"/>
        <w:left w:val="none" w:sz="0" w:space="0" w:color="auto"/>
        <w:bottom w:val="none" w:sz="0" w:space="0" w:color="auto"/>
        <w:right w:val="none" w:sz="0" w:space="0" w:color="auto"/>
      </w:divBdr>
    </w:div>
    <w:div w:id="640112320">
      <w:bodyDiv w:val="1"/>
      <w:marLeft w:val="0"/>
      <w:marRight w:val="0"/>
      <w:marTop w:val="0"/>
      <w:marBottom w:val="0"/>
      <w:divBdr>
        <w:top w:val="none" w:sz="0" w:space="0" w:color="auto"/>
        <w:left w:val="none" w:sz="0" w:space="0" w:color="auto"/>
        <w:bottom w:val="none" w:sz="0" w:space="0" w:color="auto"/>
        <w:right w:val="none" w:sz="0" w:space="0" w:color="auto"/>
      </w:divBdr>
    </w:div>
    <w:div w:id="642779247">
      <w:bodyDiv w:val="1"/>
      <w:marLeft w:val="0"/>
      <w:marRight w:val="0"/>
      <w:marTop w:val="0"/>
      <w:marBottom w:val="0"/>
      <w:divBdr>
        <w:top w:val="none" w:sz="0" w:space="0" w:color="auto"/>
        <w:left w:val="none" w:sz="0" w:space="0" w:color="auto"/>
        <w:bottom w:val="none" w:sz="0" w:space="0" w:color="auto"/>
        <w:right w:val="none" w:sz="0" w:space="0" w:color="auto"/>
      </w:divBdr>
    </w:div>
    <w:div w:id="644703677">
      <w:bodyDiv w:val="1"/>
      <w:marLeft w:val="0"/>
      <w:marRight w:val="0"/>
      <w:marTop w:val="0"/>
      <w:marBottom w:val="0"/>
      <w:divBdr>
        <w:top w:val="none" w:sz="0" w:space="0" w:color="auto"/>
        <w:left w:val="none" w:sz="0" w:space="0" w:color="auto"/>
        <w:bottom w:val="none" w:sz="0" w:space="0" w:color="auto"/>
        <w:right w:val="none" w:sz="0" w:space="0" w:color="auto"/>
      </w:divBdr>
    </w:div>
    <w:div w:id="646784415">
      <w:bodyDiv w:val="1"/>
      <w:marLeft w:val="0"/>
      <w:marRight w:val="0"/>
      <w:marTop w:val="0"/>
      <w:marBottom w:val="0"/>
      <w:divBdr>
        <w:top w:val="none" w:sz="0" w:space="0" w:color="auto"/>
        <w:left w:val="none" w:sz="0" w:space="0" w:color="auto"/>
        <w:bottom w:val="none" w:sz="0" w:space="0" w:color="auto"/>
        <w:right w:val="none" w:sz="0" w:space="0" w:color="auto"/>
      </w:divBdr>
    </w:div>
    <w:div w:id="647170734">
      <w:bodyDiv w:val="1"/>
      <w:marLeft w:val="0"/>
      <w:marRight w:val="0"/>
      <w:marTop w:val="0"/>
      <w:marBottom w:val="0"/>
      <w:divBdr>
        <w:top w:val="none" w:sz="0" w:space="0" w:color="auto"/>
        <w:left w:val="none" w:sz="0" w:space="0" w:color="auto"/>
        <w:bottom w:val="none" w:sz="0" w:space="0" w:color="auto"/>
        <w:right w:val="none" w:sz="0" w:space="0" w:color="auto"/>
      </w:divBdr>
    </w:div>
    <w:div w:id="650448140">
      <w:bodyDiv w:val="1"/>
      <w:marLeft w:val="0"/>
      <w:marRight w:val="0"/>
      <w:marTop w:val="0"/>
      <w:marBottom w:val="0"/>
      <w:divBdr>
        <w:top w:val="none" w:sz="0" w:space="0" w:color="auto"/>
        <w:left w:val="none" w:sz="0" w:space="0" w:color="auto"/>
        <w:bottom w:val="none" w:sz="0" w:space="0" w:color="auto"/>
        <w:right w:val="none" w:sz="0" w:space="0" w:color="auto"/>
      </w:divBdr>
    </w:div>
    <w:div w:id="651372550">
      <w:bodyDiv w:val="1"/>
      <w:marLeft w:val="0"/>
      <w:marRight w:val="0"/>
      <w:marTop w:val="0"/>
      <w:marBottom w:val="0"/>
      <w:divBdr>
        <w:top w:val="none" w:sz="0" w:space="0" w:color="auto"/>
        <w:left w:val="none" w:sz="0" w:space="0" w:color="auto"/>
        <w:bottom w:val="none" w:sz="0" w:space="0" w:color="auto"/>
        <w:right w:val="none" w:sz="0" w:space="0" w:color="auto"/>
      </w:divBdr>
    </w:div>
    <w:div w:id="665786229">
      <w:bodyDiv w:val="1"/>
      <w:marLeft w:val="0"/>
      <w:marRight w:val="0"/>
      <w:marTop w:val="0"/>
      <w:marBottom w:val="0"/>
      <w:divBdr>
        <w:top w:val="none" w:sz="0" w:space="0" w:color="auto"/>
        <w:left w:val="none" w:sz="0" w:space="0" w:color="auto"/>
        <w:bottom w:val="none" w:sz="0" w:space="0" w:color="auto"/>
        <w:right w:val="none" w:sz="0" w:space="0" w:color="auto"/>
      </w:divBdr>
    </w:div>
    <w:div w:id="668171858">
      <w:bodyDiv w:val="1"/>
      <w:marLeft w:val="0"/>
      <w:marRight w:val="0"/>
      <w:marTop w:val="0"/>
      <w:marBottom w:val="0"/>
      <w:divBdr>
        <w:top w:val="none" w:sz="0" w:space="0" w:color="auto"/>
        <w:left w:val="none" w:sz="0" w:space="0" w:color="auto"/>
        <w:bottom w:val="none" w:sz="0" w:space="0" w:color="auto"/>
        <w:right w:val="none" w:sz="0" w:space="0" w:color="auto"/>
      </w:divBdr>
    </w:div>
    <w:div w:id="668365687">
      <w:bodyDiv w:val="1"/>
      <w:marLeft w:val="0"/>
      <w:marRight w:val="0"/>
      <w:marTop w:val="0"/>
      <w:marBottom w:val="0"/>
      <w:divBdr>
        <w:top w:val="none" w:sz="0" w:space="0" w:color="auto"/>
        <w:left w:val="none" w:sz="0" w:space="0" w:color="auto"/>
        <w:bottom w:val="none" w:sz="0" w:space="0" w:color="auto"/>
        <w:right w:val="none" w:sz="0" w:space="0" w:color="auto"/>
      </w:divBdr>
    </w:div>
    <w:div w:id="674500192">
      <w:bodyDiv w:val="1"/>
      <w:marLeft w:val="0"/>
      <w:marRight w:val="0"/>
      <w:marTop w:val="0"/>
      <w:marBottom w:val="0"/>
      <w:divBdr>
        <w:top w:val="none" w:sz="0" w:space="0" w:color="auto"/>
        <w:left w:val="none" w:sz="0" w:space="0" w:color="auto"/>
        <w:bottom w:val="none" w:sz="0" w:space="0" w:color="auto"/>
        <w:right w:val="none" w:sz="0" w:space="0" w:color="auto"/>
      </w:divBdr>
    </w:div>
    <w:div w:id="675500713">
      <w:bodyDiv w:val="1"/>
      <w:marLeft w:val="0"/>
      <w:marRight w:val="0"/>
      <w:marTop w:val="0"/>
      <w:marBottom w:val="0"/>
      <w:divBdr>
        <w:top w:val="none" w:sz="0" w:space="0" w:color="auto"/>
        <w:left w:val="none" w:sz="0" w:space="0" w:color="auto"/>
        <w:bottom w:val="none" w:sz="0" w:space="0" w:color="auto"/>
        <w:right w:val="none" w:sz="0" w:space="0" w:color="auto"/>
      </w:divBdr>
    </w:div>
    <w:div w:id="689913045">
      <w:bodyDiv w:val="1"/>
      <w:marLeft w:val="0"/>
      <w:marRight w:val="0"/>
      <w:marTop w:val="0"/>
      <w:marBottom w:val="0"/>
      <w:divBdr>
        <w:top w:val="none" w:sz="0" w:space="0" w:color="auto"/>
        <w:left w:val="none" w:sz="0" w:space="0" w:color="auto"/>
        <w:bottom w:val="none" w:sz="0" w:space="0" w:color="auto"/>
        <w:right w:val="none" w:sz="0" w:space="0" w:color="auto"/>
      </w:divBdr>
    </w:div>
    <w:div w:id="692807550">
      <w:bodyDiv w:val="1"/>
      <w:marLeft w:val="0"/>
      <w:marRight w:val="0"/>
      <w:marTop w:val="0"/>
      <w:marBottom w:val="0"/>
      <w:divBdr>
        <w:top w:val="none" w:sz="0" w:space="0" w:color="auto"/>
        <w:left w:val="none" w:sz="0" w:space="0" w:color="auto"/>
        <w:bottom w:val="none" w:sz="0" w:space="0" w:color="auto"/>
        <w:right w:val="none" w:sz="0" w:space="0" w:color="auto"/>
      </w:divBdr>
    </w:div>
    <w:div w:id="697126558">
      <w:bodyDiv w:val="1"/>
      <w:marLeft w:val="0"/>
      <w:marRight w:val="0"/>
      <w:marTop w:val="0"/>
      <w:marBottom w:val="0"/>
      <w:divBdr>
        <w:top w:val="none" w:sz="0" w:space="0" w:color="auto"/>
        <w:left w:val="none" w:sz="0" w:space="0" w:color="auto"/>
        <w:bottom w:val="none" w:sz="0" w:space="0" w:color="auto"/>
        <w:right w:val="none" w:sz="0" w:space="0" w:color="auto"/>
      </w:divBdr>
    </w:div>
    <w:div w:id="698698732">
      <w:bodyDiv w:val="1"/>
      <w:marLeft w:val="0"/>
      <w:marRight w:val="0"/>
      <w:marTop w:val="0"/>
      <w:marBottom w:val="0"/>
      <w:divBdr>
        <w:top w:val="none" w:sz="0" w:space="0" w:color="auto"/>
        <w:left w:val="none" w:sz="0" w:space="0" w:color="auto"/>
        <w:bottom w:val="none" w:sz="0" w:space="0" w:color="auto"/>
        <w:right w:val="none" w:sz="0" w:space="0" w:color="auto"/>
      </w:divBdr>
    </w:div>
    <w:div w:id="699209095">
      <w:bodyDiv w:val="1"/>
      <w:marLeft w:val="0"/>
      <w:marRight w:val="0"/>
      <w:marTop w:val="0"/>
      <w:marBottom w:val="0"/>
      <w:divBdr>
        <w:top w:val="none" w:sz="0" w:space="0" w:color="auto"/>
        <w:left w:val="none" w:sz="0" w:space="0" w:color="auto"/>
        <w:bottom w:val="none" w:sz="0" w:space="0" w:color="auto"/>
        <w:right w:val="none" w:sz="0" w:space="0" w:color="auto"/>
      </w:divBdr>
    </w:div>
    <w:div w:id="700277972">
      <w:bodyDiv w:val="1"/>
      <w:marLeft w:val="0"/>
      <w:marRight w:val="0"/>
      <w:marTop w:val="0"/>
      <w:marBottom w:val="0"/>
      <w:divBdr>
        <w:top w:val="none" w:sz="0" w:space="0" w:color="auto"/>
        <w:left w:val="none" w:sz="0" w:space="0" w:color="auto"/>
        <w:bottom w:val="none" w:sz="0" w:space="0" w:color="auto"/>
        <w:right w:val="none" w:sz="0" w:space="0" w:color="auto"/>
      </w:divBdr>
    </w:div>
    <w:div w:id="700479571">
      <w:bodyDiv w:val="1"/>
      <w:marLeft w:val="0"/>
      <w:marRight w:val="0"/>
      <w:marTop w:val="0"/>
      <w:marBottom w:val="0"/>
      <w:divBdr>
        <w:top w:val="none" w:sz="0" w:space="0" w:color="auto"/>
        <w:left w:val="none" w:sz="0" w:space="0" w:color="auto"/>
        <w:bottom w:val="none" w:sz="0" w:space="0" w:color="auto"/>
        <w:right w:val="none" w:sz="0" w:space="0" w:color="auto"/>
      </w:divBdr>
    </w:div>
    <w:div w:id="702485440">
      <w:bodyDiv w:val="1"/>
      <w:marLeft w:val="0"/>
      <w:marRight w:val="0"/>
      <w:marTop w:val="0"/>
      <w:marBottom w:val="0"/>
      <w:divBdr>
        <w:top w:val="none" w:sz="0" w:space="0" w:color="auto"/>
        <w:left w:val="none" w:sz="0" w:space="0" w:color="auto"/>
        <w:bottom w:val="none" w:sz="0" w:space="0" w:color="auto"/>
        <w:right w:val="none" w:sz="0" w:space="0" w:color="auto"/>
      </w:divBdr>
    </w:div>
    <w:div w:id="706027972">
      <w:bodyDiv w:val="1"/>
      <w:marLeft w:val="0"/>
      <w:marRight w:val="0"/>
      <w:marTop w:val="0"/>
      <w:marBottom w:val="0"/>
      <w:divBdr>
        <w:top w:val="none" w:sz="0" w:space="0" w:color="auto"/>
        <w:left w:val="none" w:sz="0" w:space="0" w:color="auto"/>
        <w:bottom w:val="none" w:sz="0" w:space="0" w:color="auto"/>
        <w:right w:val="none" w:sz="0" w:space="0" w:color="auto"/>
      </w:divBdr>
    </w:div>
    <w:div w:id="708994764">
      <w:bodyDiv w:val="1"/>
      <w:marLeft w:val="0"/>
      <w:marRight w:val="0"/>
      <w:marTop w:val="0"/>
      <w:marBottom w:val="0"/>
      <w:divBdr>
        <w:top w:val="none" w:sz="0" w:space="0" w:color="auto"/>
        <w:left w:val="none" w:sz="0" w:space="0" w:color="auto"/>
        <w:bottom w:val="none" w:sz="0" w:space="0" w:color="auto"/>
        <w:right w:val="none" w:sz="0" w:space="0" w:color="auto"/>
      </w:divBdr>
    </w:div>
    <w:div w:id="709963440">
      <w:bodyDiv w:val="1"/>
      <w:marLeft w:val="0"/>
      <w:marRight w:val="0"/>
      <w:marTop w:val="0"/>
      <w:marBottom w:val="0"/>
      <w:divBdr>
        <w:top w:val="none" w:sz="0" w:space="0" w:color="auto"/>
        <w:left w:val="none" w:sz="0" w:space="0" w:color="auto"/>
        <w:bottom w:val="none" w:sz="0" w:space="0" w:color="auto"/>
        <w:right w:val="none" w:sz="0" w:space="0" w:color="auto"/>
      </w:divBdr>
    </w:div>
    <w:div w:id="712272576">
      <w:bodyDiv w:val="1"/>
      <w:marLeft w:val="0"/>
      <w:marRight w:val="0"/>
      <w:marTop w:val="0"/>
      <w:marBottom w:val="0"/>
      <w:divBdr>
        <w:top w:val="none" w:sz="0" w:space="0" w:color="auto"/>
        <w:left w:val="none" w:sz="0" w:space="0" w:color="auto"/>
        <w:bottom w:val="none" w:sz="0" w:space="0" w:color="auto"/>
        <w:right w:val="none" w:sz="0" w:space="0" w:color="auto"/>
      </w:divBdr>
    </w:div>
    <w:div w:id="714353024">
      <w:bodyDiv w:val="1"/>
      <w:marLeft w:val="0"/>
      <w:marRight w:val="0"/>
      <w:marTop w:val="0"/>
      <w:marBottom w:val="0"/>
      <w:divBdr>
        <w:top w:val="none" w:sz="0" w:space="0" w:color="auto"/>
        <w:left w:val="none" w:sz="0" w:space="0" w:color="auto"/>
        <w:bottom w:val="none" w:sz="0" w:space="0" w:color="auto"/>
        <w:right w:val="none" w:sz="0" w:space="0" w:color="auto"/>
      </w:divBdr>
    </w:div>
    <w:div w:id="718405844">
      <w:bodyDiv w:val="1"/>
      <w:marLeft w:val="0"/>
      <w:marRight w:val="0"/>
      <w:marTop w:val="0"/>
      <w:marBottom w:val="0"/>
      <w:divBdr>
        <w:top w:val="none" w:sz="0" w:space="0" w:color="auto"/>
        <w:left w:val="none" w:sz="0" w:space="0" w:color="auto"/>
        <w:bottom w:val="none" w:sz="0" w:space="0" w:color="auto"/>
        <w:right w:val="none" w:sz="0" w:space="0" w:color="auto"/>
      </w:divBdr>
    </w:div>
    <w:div w:id="724455818">
      <w:bodyDiv w:val="1"/>
      <w:marLeft w:val="0"/>
      <w:marRight w:val="0"/>
      <w:marTop w:val="0"/>
      <w:marBottom w:val="0"/>
      <w:divBdr>
        <w:top w:val="none" w:sz="0" w:space="0" w:color="auto"/>
        <w:left w:val="none" w:sz="0" w:space="0" w:color="auto"/>
        <w:bottom w:val="none" w:sz="0" w:space="0" w:color="auto"/>
        <w:right w:val="none" w:sz="0" w:space="0" w:color="auto"/>
      </w:divBdr>
    </w:div>
    <w:div w:id="727994782">
      <w:bodyDiv w:val="1"/>
      <w:marLeft w:val="0"/>
      <w:marRight w:val="0"/>
      <w:marTop w:val="0"/>
      <w:marBottom w:val="0"/>
      <w:divBdr>
        <w:top w:val="none" w:sz="0" w:space="0" w:color="auto"/>
        <w:left w:val="none" w:sz="0" w:space="0" w:color="auto"/>
        <w:bottom w:val="none" w:sz="0" w:space="0" w:color="auto"/>
        <w:right w:val="none" w:sz="0" w:space="0" w:color="auto"/>
      </w:divBdr>
    </w:div>
    <w:div w:id="729766447">
      <w:bodyDiv w:val="1"/>
      <w:marLeft w:val="0"/>
      <w:marRight w:val="0"/>
      <w:marTop w:val="0"/>
      <w:marBottom w:val="0"/>
      <w:divBdr>
        <w:top w:val="none" w:sz="0" w:space="0" w:color="auto"/>
        <w:left w:val="none" w:sz="0" w:space="0" w:color="auto"/>
        <w:bottom w:val="none" w:sz="0" w:space="0" w:color="auto"/>
        <w:right w:val="none" w:sz="0" w:space="0" w:color="auto"/>
      </w:divBdr>
    </w:div>
    <w:div w:id="730349061">
      <w:bodyDiv w:val="1"/>
      <w:marLeft w:val="0"/>
      <w:marRight w:val="0"/>
      <w:marTop w:val="0"/>
      <w:marBottom w:val="0"/>
      <w:divBdr>
        <w:top w:val="none" w:sz="0" w:space="0" w:color="auto"/>
        <w:left w:val="none" w:sz="0" w:space="0" w:color="auto"/>
        <w:bottom w:val="none" w:sz="0" w:space="0" w:color="auto"/>
        <w:right w:val="none" w:sz="0" w:space="0" w:color="auto"/>
      </w:divBdr>
    </w:div>
    <w:div w:id="730545548">
      <w:bodyDiv w:val="1"/>
      <w:marLeft w:val="0"/>
      <w:marRight w:val="0"/>
      <w:marTop w:val="0"/>
      <w:marBottom w:val="0"/>
      <w:divBdr>
        <w:top w:val="none" w:sz="0" w:space="0" w:color="auto"/>
        <w:left w:val="none" w:sz="0" w:space="0" w:color="auto"/>
        <w:bottom w:val="none" w:sz="0" w:space="0" w:color="auto"/>
        <w:right w:val="none" w:sz="0" w:space="0" w:color="auto"/>
      </w:divBdr>
    </w:div>
    <w:div w:id="731004944">
      <w:bodyDiv w:val="1"/>
      <w:marLeft w:val="0"/>
      <w:marRight w:val="0"/>
      <w:marTop w:val="0"/>
      <w:marBottom w:val="0"/>
      <w:divBdr>
        <w:top w:val="none" w:sz="0" w:space="0" w:color="auto"/>
        <w:left w:val="none" w:sz="0" w:space="0" w:color="auto"/>
        <w:bottom w:val="none" w:sz="0" w:space="0" w:color="auto"/>
        <w:right w:val="none" w:sz="0" w:space="0" w:color="auto"/>
      </w:divBdr>
    </w:div>
    <w:div w:id="731271835">
      <w:bodyDiv w:val="1"/>
      <w:marLeft w:val="0"/>
      <w:marRight w:val="0"/>
      <w:marTop w:val="0"/>
      <w:marBottom w:val="0"/>
      <w:divBdr>
        <w:top w:val="none" w:sz="0" w:space="0" w:color="auto"/>
        <w:left w:val="none" w:sz="0" w:space="0" w:color="auto"/>
        <w:bottom w:val="none" w:sz="0" w:space="0" w:color="auto"/>
        <w:right w:val="none" w:sz="0" w:space="0" w:color="auto"/>
      </w:divBdr>
    </w:div>
    <w:div w:id="734864010">
      <w:bodyDiv w:val="1"/>
      <w:marLeft w:val="0"/>
      <w:marRight w:val="0"/>
      <w:marTop w:val="0"/>
      <w:marBottom w:val="0"/>
      <w:divBdr>
        <w:top w:val="none" w:sz="0" w:space="0" w:color="auto"/>
        <w:left w:val="none" w:sz="0" w:space="0" w:color="auto"/>
        <w:bottom w:val="none" w:sz="0" w:space="0" w:color="auto"/>
        <w:right w:val="none" w:sz="0" w:space="0" w:color="auto"/>
      </w:divBdr>
    </w:div>
    <w:div w:id="744031565">
      <w:bodyDiv w:val="1"/>
      <w:marLeft w:val="0"/>
      <w:marRight w:val="0"/>
      <w:marTop w:val="0"/>
      <w:marBottom w:val="0"/>
      <w:divBdr>
        <w:top w:val="none" w:sz="0" w:space="0" w:color="auto"/>
        <w:left w:val="none" w:sz="0" w:space="0" w:color="auto"/>
        <w:bottom w:val="none" w:sz="0" w:space="0" w:color="auto"/>
        <w:right w:val="none" w:sz="0" w:space="0" w:color="auto"/>
      </w:divBdr>
    </w:div>
    <w:div w:id="754664064">
      <w:bodyDiv w:val="1"/>
      <w:marLeft w:val="0"/>
      <w:marRight w:val="0"/>
      <w:marTop w:val="0"/>
      <w:marBottom w:val="0"/>
      <w:divBdr>
        <w:top w:val="none" w:sz="0" w:space="0" w:color="auto"/>
        <w:left w:val="none" w:sz="0" w:space="0" w:color="auto"/>
        <w:bottom w:val="none" w:sz="0" w:space="0" w:color="auto"/>
        <w:right w:val="none" w:sz="0" w:space="0" w:color="auto"/>
      </w:divBdr>
    </w:div>
    <w:div w:id="755439459">
      <w:bodyDiv w:val="1"/>
      <w:marLeft w:val="0"/>
      <w:marRight w:val="0"/>
      <w:marTop w:val="0"/>
      <w:marBottom w:val="0"/>
      <w:divBdr>
        <w:top w:val="none" w:sz="0" w:space="0" w:color="auto"/>
        <w:left w:val="none" w:sz="0" w:space="0" w:color="auto"/>
        <w:bottom w:val="none" w:sz="0" w:space="0" w:color="auto"/>
        <w:right w:val="none" w:sz="0" w:space="0" w:color="auto"/>
      </w:divBdr>
    </w:div>
    <w:div w:id="757140398">
      <w:bodyDiv w:val="1"/>
      <w:marLeft w:val="0"/>
      <w:marRight w:val="0"/>
      <w:marTop w:val="0"/>
      <w:marBottom w:val="0"/>
      <w:divBdr>
        <w:top w:val="none" w:sz="0" w:space="0" w:color="auto"/>
        <w:left w:val="none" w:sz="0" w:space="0" w:color="auto"/>
        <w:bottom w:val="none" w:sz="0" w:space="0" w:color="auto"/>
        <w:right w:val="none" w:sz="0" w:space="0" w:color="auto"/>
      </w:divBdr>
    </w:div>
    <w:div w:id="761412471">
      <w:bodyDiv w:val="1"/>
      <w:marLeft w:val="0"/>
      <w:marRight w:val="0"/>
      <w:marTop w:val="0"/>
      <w:marBottom w:val="0"/>
      <w:divBdr>
        <w:top w:val="none" w:sz="0" w:space="0" w:color="auto"/>
        <w:left w:val="none" w:sz="0" w:space="0" w:color="auto"/>
        <w:bottom w:val="none" w:sz="0" w:space="0" w:color="auto"/>
        <w:right w:val="none" w:sz="0" w:space="0" w:color="auto"/>
      </w:divBdr>
    </w:div>
    <w:div w:id="762802559">
      <w:bodyDiv w:val="1"/>
      <w:marLeft w:val="0"/>
      <w:marRight w:val="0"/>
      <w:marTop w:val="0"/>
      <w:marBottom w:val="0"/>
      <w:divBdr>
        <w:top w:val="none" w:sz="0" w:space="0" w:color="auto"/>
        <w:left w:val="none" w:sz="0" w:space="0" w:color="auto"/>
        <w:bottom w:val="none" w:sz="0" w:space="0" w:color="auto"/>
        <w:right w:val="none" w:sz="0" w:space="0" w:color="auto"/>
      </w:divBdr>
    </w:div>
    <w:div w:id="763499326">
      <w:bodyDiv w:val="1"/>
      <w:marLeft w:val="0"/>
      <w:marRight w:val="0"/>
      <w:marTop w:val="0"/>
      <w:marBottom w:val="0"/>
      <w:divBdr>
        <w:top w:val="none" w:sz="0" w:space="0" w:color="auto"/>
        <w:left w:val="none" w:sz="0" w:space="0" w:color="auto"/>
        <w:bottom w:val="none" w:sz="0" w:space="0" w:color="auto"/>
        <w:right w:val="none" w:sz="0" w:space="0" w:color="auto"/>
      </w:divBdr>
    </w:div>
    <w:div w:id="775757169">
      <w:bodyDiv w:val="1"/>
      <w:marLeft w:val="0"/>
      <w:marRight w:val="0"/>
      <w:marTop w:val="0"/>
      <w:marBottom w:val="0"/>
      <w:divBdr>
        <w:top w:val="none" w:sz="0" w:space="0" w:color="auto"/>
        <w:left w:val="none" w:sz="0" w:space="0" w:color="auto"/>
        <w:bottom w:val="none" w:sz="0" w:space="0" w:color="auto"/>
        <w:right w:val="none" w:sz="0" w:space="0" w:color="auto"/>
      </w:divBdr>
    </w:div>
    <w:div w:id="777870837">
      <w:bodyDiv w:val="1"/>
      <w:marLeft w:val="0"/>
      <w:marRight w:val="0"/>
      <w:marTop w:val="0"/>
      <w:marBottom w:val="0"/>
      <w:divBdr>
        <w:top w:val="none" w:sz="0" w:space="0" w:color="auto"/>
        <w:left w:val="none" w:sz="0" w:space="0" w:color="auto"/>
        <w:bottom w:val="none" w:sz="0" w:space="0" w:color="auto"/>
        <w:right w:val="none" w:sz="0" w:space="0" w:color="auto"/>
      </w:divBdr>
    </w:div>
    <w:div w:id="777943541">
      <w:bodyDiv w:val="1"/>
      <w:marLeft w:val="0"/>
      <w:marRight w:val="0"/>
      <w:marTop w:val="0"/>
      <w:marBottom w:val="0"/>
      <w:divBdr>
        <w:top w:val="none" w:sz="0" w:space="0" w:color="auto"/>
        <w:left w:val="none" w:sz="0" w:space="0" w:color="auto"/>
        <w:bottom w:val="none" w:sz="0" w:space="0" w:color="auto"/>
        <w:right w:val="none" w:sz="0" w:space="0" w:color="auto"/>
      </w:divBdr>
    </w:div>
    <w:div w:id="782697061">
      <w:bodyDiv w:val="1"/>
      <w:marLeft w:val="0"/>
      <w:marRight w:val="0"/>
      <w:marTop w:val="0"/>
      <w:marBottom w:val="0"/>
      <w:divBdr>
        <w:top w:val="none" w:sz="0" w:space="0" w:color="auto"/>
        <w:left w:val="none" w:sz="0" w:space="0" w:color="auto"/>
        <w:bottom w:val="none" w:sz="0" w:space="0" w:color="auto"/>
        <w:right w:val="none" w:sz="0" w:space="0" w:color="auto"/>
      </w:divBdr>
    </w:div>
    <w:div w:id="789587292">
      <w:bodyDiv w:val="1"/>
      <w:marLeft w:val="0"/>
      <w:marRight w:val="0"/>
      <w:marTop w:val="0"/>
      <w:marBottom w:val="0"/>
      <w:divBdr>
        <w:top w:val="none" w:sz="0" w:space="0" w:color="auto"/>
        <w:left w:val="none" w:sz="0" w:space="0" w:color="auto"/>
        <w:bottom w:val="none" w:sz="0" w:space="0" w:color="auto"/>
        <w:right w:val="none" w:sz="0" w:space="0" w:color="auto"/>
      </w:divBdr>
    </w:div>
    <w:div w:id="792752454">
      <w:bodyDiv w:val="1"/>
      <w:marLeft w:val="0"/>
      <w:marRight w:val="0"/>
      <w:marTop w:val="0"/>
      <w:marBottom w:val="0"/>
      <w:divBdr>
        <w:top w:val="none" w:sz="0" w:space="0" w:color="auto"/>
        <w:left w:val="none" w:sz="0" w:space="0" w:color="auto"/>
        <w:bottom w:val="none" w:sz="0" w:space="0" w:color="auto"/>
        <w:right w:val="none" w:sz="0" w:space="0" w:color="auto"/>
      </w:divBdr>
    </w:div>
    <w:div w:id="794258309">
      <w:bodyDiv w:val="1"/>
      <w:marLeft w:val="0"/>
      <w:marRight w:val="0"/>
      <w:marTop w:val="0"/>
      <w:marBottom w:val="0"/>
      <w:divBdr>
        <w:top w:val="none" w:sz="0" w:space="0" w:color="auto"/>
        <w:left w:val="none" w:sz="0" w:space="0" w:color="auto"/>
        <w:bottom w:val="none" w:sz="0" w:space="0" w:color="auto"/>
        <w:right w:val="none" w:sz="0" w:space="0" w:color="auto"/>
      </w:divBdr>
    </w:div>
    <w:div w:id="795416484">
      <w:bodyDiv w:val="1"/>
      <w:marLeft w:val="0"/>
      <w:marRight w:val="0"/>
      <w:marTop w:val="0"/>
      <w:marBottom w:val="0"/>
      <w:divBdr>
        <w:top w:val="none" w:sz="0" w:space="0" w:color="auto"/>
        <w:left w:val="none" w:sz="0" w:space="0" w:color="auto"/>
        <w:bottom w:val="none" w:sz="0" w:space="0" w:color="auto"/>
        <w:right w:val="none" w:sz="0" w:space="0" w:color="auto"/>
      </w:divBdr>
    </w:div>
    <w:div w:id="795874875">
      <w:bodyDiv w:val="1"/>
      <w:marLeft w:val="0"/>
      <w:marRight w:val="0"/>
      <w:marTop w:val="0"/>
      <w:marBottom w:val="0"/>
      <w:divBdr>
        <w:top w:val="none" w:sz="0" w:space="0" w:color="auto"/>
        <w:left w:val="none" w:sz="0" w:space="0" w:color="auto"/>
        <w:bottom w:val="none" w:sz="0" w:space="0" w:color="auto"/>
        <w:right w:val="none" w:sz="0" w:space="0" w:color="auto"/>
      </w:divBdr>
    </w:div>
    <w:div w:id="796265847">
      <w:bodyDiv w:val="1"/>
      <w:marLeft w:val="0"/>
      <w:marRight w:val="0"/>
      <w:marTop w:val="0"/>
      <w:marBottom w:val="0"/>
      <w:divBdr>
        <w:top w:val="none" w:sz="0" w:space="0" w:color="auto"/>
        <w:left w:val="none" w:sz="0" w:space="0" w:color="auto"/>
        <w:bottom w:val="none" w:sz="0" w:space="0" w:color="auto"/>
        <w:right w:val="none" w:sz="0" w:space="0" w:color="auto"/>
      </w:divBdr>
    </w:div>
    <w:div w:id="803735918">
      <w:bodyDiv w:val="1"/>
      <w:marLeft w:val="0"/>
      <w:marRight w:val="0"/>
      <w:marTop w:val="0"/>
      <w:marBottom w:val="0"/>
      <w:divBdr>
        <w:top w:val="none" w:sz="0" w:space="0" w:color="auto"/>
        <w:left w:val="none" w:sz="0" w:space="0" w:color="auto"/>
        <w:bottom w:val="none" w:sz="0" w:space="0" w:color="auto"/>
        <w:right w:val="none" w:sz="0" w:space="0" w:color="auto"/>
      </w:divBdr>
    </w:div>
    <w:div w:id="805854578">
      <w:bodyDiv w:val="1"/>
      <w:marLeft w:val="0"/>
      <w:marRight w:val="0"/>
      <w:marTop w:val="0"/>
      <w:marBottom w:val="0"/>
      <w:divBdr>
        <w:top w:val="none" w:sz="0" w:space="0" w:color="auto"/>
        <w:left w:val="none" w:sz="0" w:space="0" w:color="auto"/>
        <w:bottom w:val="none" w:sz="0" w:space="0" w:color="auto"/>
        <w:right w:val="none" w:sz="0" w:space="0" w:color="auto"/>
      </w:divBdr>
    </w:div>
    <w:div w:id="810828510">
      <w:bodyDiv w:val="1"/>
      <w:marLeft w:val="0"/>
      <w:marRight w:val="0"/>
      <w:marTop w:val="0"/>
      <w:marBottom w:val="0"/>
      <w:divBdr>
        <w:top w:val="none" w:sz="0" w:space="0" w:color="auto"/>
        <w:left w:val="none" w:sz="0" w:space="0" w:color="auto"/>
        <w:bottom w:val="none" w:sz="0" w:space="0" w:color="auto"/>
        <w:right w:val="none" w:sz="0" w:space="0" w:color="auto"/>
      </w:divBdr>
    </w:div>
    <w:div w:id="815224091">
      <w:bodyDiv w:val="1"/>
      <w:marLeft w:val="0"/>
      <w:marRight w:val="0"/>
      <w:marTop w:val="0"/>
      <w:marBottom w:val="0"/>
      <w:divBdr>
        <w:top w:val="none" w:sz="0" w:space="0" w:color="auto"/>
        <w:left w:val="none" w:sz="0" w:space="0" w:color="auto"/>
        <w:bottom w:val="none" w:sz="0" w:space="0" w:color="auto"/>
        <w:right w:val="none" w:sz="0" w:space="0" w:color="auto"/>
      </w:divBdr>
    </w:div>
    <w:div w:id="816217114">
      <w:bodyDiv w:val="1"/>
      <w:marLeft w:val="0"/>
      <w:marRight w:val="0"/>
      <w:marTop w:val="0"/>
      <w:marBottom w:val="0"/>
      <w:divBdr>
        <w:top w:val="none" w:sz="0" w:space="0" w:color="auto"/>
        <w:left w:val="none" w:sz="0" w:space="0" w:color="auto"/>
        <w:bottom w:val="none" w:sz="0" w:space="0" w:color="auto"/>
        <w:right w:val="none" w:sz="0" w:space="0" w:color="auto"/>
      </w:divBdr>
    </w:div>
    <w:div w:id="819031864">
      <w:bodyDiv w:val="1"/>
      <w:marLeft w:val="0"/>
      <w:marRight w:val="0"/>
      <w:marTop w:val="0"/>
      <w:marBottom w:val="0"/>
      <w:divBdr>
        <w:top w:val="none" w:sz="0" w:space="0" w:color="auto"/>
        <w:left w:val="none" w:sz="0" w:space="0" w:color="auto"/>
        <w:bottom w:val="none" w:sz="0" w:space="0" w:color="auto"/>
        <w:right w:val="none" w:sz="0" w:space="0" w:color="auto"/>
      </w:divBdr>
    </w:div>
    <w:div w:id="824398706">
      <w:bodyDiv w:val="1"/>
      <w:marLeft w:val="0"/>
      <w:marRight w:val="0"/>
      <w:marTop w:val="0"/>
      <w:marBottom w:val="0"/>
      <w:divBdr>
        <w:top w:val="none" w:sz="0" w:space="0" w:color="auto"/>
        <w:left w:val="none" w:sz="0" w:space="0" w:color="auto"/>
        <w:bottom w:val="none" w:sz="0" w:space="0" w:color="auto"/>
        <w:right w:val="none" w:sz="0" w:space="0" w:color="auto"/>
      </w:divBdr>
    </w:div>
    <w:div w:id="825703235">
      <w:bodyDiv w:val="1"/>
      <w:marLeft w:val="0"/>
      <w:marRight w:val="0"/>
      <w:marTop w:val="0"/>
      <w:marBottom w:val="0"/>
      <w:divBdr>
        <w:top w:val="none" w:sz="0" w:space="0" w:color="auto"/>
        <w:left w:val="none" w:sz="0" w:space="0" w:color="auto"/>
        <w:bottom w:val="none" w:sz="0" w:space="0" w:color="auto"/>
        <w:right w:val="none" w:sz="0" w:space="0" w:color="auto"/>
      </w:divBdr>
    </w:div>
    <w:div w:id="826628914">
      <w:bodyDiv w:val="1"/>
      <w:marLeft w:val="0"/>
      <w:marRight w:val="0"/>
      <w:marTop w:val="0"/>
      <w:marBottom w:val="0"/>
      <w:divBdr>
        <w:top w:val="none" w:sz="0" w:space="0" w:color="auto"/>
        <w:left w:val="none" w:sz="0" w:space="0" w:color="auto"/>
        <w:bottom w:val="none" w:sz="0" w:space="0" w:color="auto"/>
        <w:right w:val="none" w:sz="0" w:space="0" w:color="auto"/>
      </w:divBdr>
    </w:div>
    <w:div w:id="832571910">
      <w:bodyDiv w:val="1"/>
      <w:marLeft w:val="0"/>
      <w:marRight w:val="0"/>
      <w:marTop w:val="0"/>
      <w:marBottom w:val="0"/>
      <w:divBdr>
        <w:top w:val="none" w:sz="0" w:space="0" w:color="auto"/>
        <w:left w:val="none" w:sz="0" w:space="0" w:color="auto"/>
        <w:bottom w:val="none" w:sz="0" w:space="0" w:color="auto"/>
        <w:right w:val="none" w:sz="0" w:space="0" w:color="auto"/>
      </w:divBdr>
    </w:div>
    <w:div w:id="832841947">
      <w:bodyDiv w:val="1"/>
      <w:marLeft w:val="0"/>
      <w:marRight w:val="0"/>
      <w:marTop w:val="0"/>
      <w:marBottom w:val="0"/>
      <w:divBdr>
        <w:top w:val="none" w:sz="0" w:space="0" w:color="auto"/>
        <w:left w:val="none" w:sz="0" w:space="0" w:color="auto"/>
        <w:bottom w:val="none" w:sz="0" w:space="0" w:color="auto"/>
        <w:right w:val="none" w:sz="0" w:space="0" w:color="auto"/>
      </w:divBdr>
    </w:div>
    <w:div w:id="842009561">
      <w:bodyDiv w:val="1"/>
      <w:marLeft w:val="0"/>
      <w:marRight w:val="0"/>
      <w:marTop w:val="0"/>
      <w:marBottom w:val="0"/>
      <w:divBdr>
        <w:top w:val="none" w:sz="0" w:space="0" w:color="auto"/>
        <w:left w:val="none" w:sz="0" w:space="0" w:color="auto"/>
        <w:bottom w:val="none" w:sz="0" w:space="0" w:color="auto"/>
        <w:right w:val="none" w:sz="0" w:space="0" w:color="auto"/>
      </w:divBdr>
    </w:div>
    <w:div w:id="842934536">
      <w:bodyDiv w:val="1"/>
      <w:marLeft w:val="0"/>
      <w:marRight w:val="0"/>
      <w:marTop w:val="0"/>
      <w:marBottom w:val="0"/>
      <w:divBdr>
        <w:top w:val="none" w:sz="0" w:space="0" w:color="auto"/>
        <w:left w:val="none" w:sz="0" w:space="0" w:color="auto"/>
        <w:bottom w:val="none" w:sz="0" w:space="0" w:color="auto"/>
        <w:right w:val="none" w:sz="0" w:space="0" w:color="auto"/>
      </w:divBdr>
    </w:div>
    <w:div w:id="843203443">
      <w:bodyDiv w:val="1"/>
      <w:marLeft w:val="0"/>
      <w:marRight w:val="0"/>
      <w:marTop w:val="0"/>
      <w:marBottom w:val="0"/>
      <w:divBdr>
        <w:top w:val="none" w:sz="0" w:space="0" w:color="auto"/>
        <w:left w:val="none" w:sz="0" w:space="0" w:color="auto"/>
        <w:bottom w:val="none" w:sz="0" w:space="0" w:color="auto"/>
        <w:right w:val="none" w:sz="0" w:space="0" w:color="auto"/>
      </w:divBdr>
    </w:div>
    <w:div w:id="843280360">
      <w:bodyDiv w:val="1"/>
      <w:marLeft w:val="0"/>
      <w:marRight w:val="0"/>
      <w:marTop w:val="0"/>
      <w:marBottom w:val="0"/>
      <w:divBdr>
        <w:top w:val="none" w:sz="0" w:space="0" w:color="auto"/>
        <w:left w:val="none" w:sz="0" w:space="0" w:color="auto"/>
        <w:bottom w:val="none" w:sz="0" w:space="0" w:color="auto"/>
        <w:right w:val="none" w:sz="0" w:space="0" w:color="auto"/>
      </w:divBdr>
    </w:div>
    <w:div w:id="846405887">
      <w:bodyDiv w:val="1"/>
      <w:marLeft w:val="0"/>
      <w:marRight w:val="0"/>
      <w:marTop w:val="0"/>
      <w:marBottom w:val="0"/>
      <w:divBdr>
        <w:top w:val="none" w:sz="0" w:space="0" w:color="auto"/>
        <w:left w:val="none" w:sz="0" w:space="0" w:color="auto"/>
        <w:bottom w:val="none" w:sz="0" w:space="0" w:color="auto"/>
        <w:right w:val="none" w:sz="0" w:space="0" w:color="auto"/>
      </w:divBdr>
    </w:div>
    <w:div w:id="847910081">
      <w:bodyDiv w:val="1"/>
      <w:marLeft w:val="0"/>
      <w:marRight w:val="0"/>
      <w:marTop w:val="0"/>
      <w:marBottom w:val="0"/>
      <w:divBdr>
        <w:top w:val="none" w:sz="0" w:space="0" w:color="auto"/>
        <w:left w:val="none" w:sz="0" w:space="0" w:color="auto"/>
        <w:bottom w:val="none" w:sz="0" w:space="0" w:color="auto"/>
        <w:right w:val="none" w:sz="0" w:space="0" w:color="auto"/>
      </w:divBdr>
    </w:div>
    <w:div w:id="851723996">
      <w:bodyDiv w:val="1"/>
      <w:marLeft w:val="0"/>
      <w:marRight w:val="0"/>
      <w:marTop w:val="0"/>
      <w:marBottom w:val="0"/>
      <w:divBdr>
        <w:top w:val="none" w:sz="0" w:space="0" w:color="auto"/>
        <w:left w:val="none" w:sz="0" w:space="0" w:color="auto"/>
        <w:bottom w:val="none" w:sz="0" w:space="0" w:color="auto"/>
        <w:right w:val="none" w:sz="0" w:space="0" w:color="auto"/>
      </w:divBdr>
    </w:div>
    <w:div w:id="852492883">
      <w:bodyDiv w:val="1"/>
      <w:marLeft w:val="0"/>
      <w:marRight w:val="0"/>
      <w:marTop w:val="0"/>
      <w:marBottom w:val="0"/>
      <w:divBdr>
        <w:top w:val="none" w:sz="0" w:space="0" w:color="auto"/>
        <w:left w:val="none" w:sz="0" w:space="0" w:color="auto"/>
        <w:bottom w:val="none" w:sz="0" w:space="0" w:color="auto"/>
        <w:right w:val="none" w:sz="0" w:space="0" w:color="auto"/>
      </w:divBdr>
    </w:div>
    <w:div w:id="855727745">
      <w:bodyDiv w:val="1"/>
      <w:marLeft w:val="0"/>
      <w:marRight w:val="0"/>
      <w:marTop w:val="0"/>
      <w:marBottom w:val="0"/>
      <w:divBdr>
        <w:top w:val="none" w:sz="0" w:space="0" w:color="auto"/>
        <w:left w:val="none" w:sz="0" w:space="0" w:color="auto"/>
        <w:bottom w:val="none" w:sz="0" w:space="0" w:color="auto"/>
        <w:right w:val="none" w:sz="0" w:space="0" w:color="auto"/>
      </w:divBdr>
    </w:div>
    <w:div w:id="855847646">
      <w:bodyDiv w:val="1"/>
      <w:marLeft w:val="0"/>
      <w:marRight w:val="0"/>
      <w:marTop w:val="0"/>
      <w:marBottom w:val="0"/>
      <w:divBdr>
        <w:top w:val="none" w:sz="0" w:space="0" w:color="auto"/>
        <w:left w:val="none" w:sz="0" w:space="0" w:color="auto"/>
        <w:bottom w:val="none" w:sz="0" w:space="0" w:color="auto"/>
        <w:right w:val="none" w:sz="0" w:space="0" w:color="auto"/>
      </w:divBdr>
    </w:div>
    <w:div w:id="860162781">
      <w:bodyDiv w:val="1"/>
      <w:marLeft w:val="0"/>
      <w:marRight w:val="0"/>
      <w:marTop w:val="0"/>
      <w:marBottom w:val="0"/>
      <w:divBdr>
        <w:top w:val="none" w:sz="0" w:space="0" w:color="auto"/>
        <w:left w:val="none" w:sz="0" w:space="0" w:color="auto"/>
        <w:bottom w:val="none" w:sz="0" w:space="0" w:color="auto"/>
        <w:right w:val="none" w:sz="0" w:space="0" w:color="auto"/>
      </w:divBdr>
    </w:div>
    <w:div w:id="860508360">
      <w:bodyDiv w:val="1"/>
      <w:marLeft w:val="0"/>
      <w:marRight w:val="0"/>
      <w:marTop w:val="0"/>
      <w:marBottom w:val="0"/>
      <w:divBdr>
        <w:top w:val="none" w:sz="0" w:space="0" w:color="auto"/>
        <w:left w:val="none" w:sz="0" w:space="0" w:color="auto"/>
        <w:bottom w:val="none" w:sz="0" w:space="0" w:color="auto"/>
        <w:right w:val="none" w:sz="0" w:space="0" w:color="auto"/>
      </w:divBdr>
    </w:div>
    <w:div w:id="871115668">
      <w:bodyDiv w:val="1"/>
      <w:marLeft w:val="0"/>
      <w:marRight w:val="0"/>
      <w:marTop w:val="0"/>
      <w:marBottom w:val="0"/>
      <w:divBdr>
        <w:top w:val="none" w:sz="0" w:space="0" w:color="auto"/>
        <w:left w:val="none" w:sz="0" w:space="0" w:color="auto"/>
        <w:bottom w:val="none" w:sz="0" w:space="0" w:color="auto"/>
        <w:right w:val="none" w:sz="0" w:space="0" w:color="auto"/>
      </w:divBdr>
    </w:div>
    <w:div w:id="875316727">
      <w:bodyDiv w:val="1"/>
      <w:marLeft w:val="0"/>
      <w:marRight w:val="0"/>
      <w:marTop w:val="0"/>
      <w:marBottom w:val="0"/>
      <w:divBdr>
        <w:top w:val="none" w:sz="0" w:space="0" w:color="auto"/>
        <w:left w:val="none" w:sz="0" w:space="0" w:color="auto"/>
        <w:bottom w:val="none" w:sz="0" w:space="0" w:color="auto"/>
        <w:right w:val="none" w:sz="0" w:space="0" w:color="auto"/>
      </w:divBdr>
    </w:div>
    <w:div w:id="878248686">
      <w:bodyDiv w:val="1"/>
      <w:marLeft w:val="0"/>
      <w:marRight w:val="0"/>
      <w:marTop w:val="0"/>
      <w:marBottom w:val="0"/>
      <w:divBdr>
        <w:top w:val="none" w:sz="0" w:space="0" w:color="auto"/>
        <w:left w:val="none" w:sz="0" w:space="0" w:color="auto"/>
        <w:bottom w:val="none" w:sz="0" w:space="0" w:color="auto"/>
        <w:right w:val="none" w:sz="0" w:space="0" w:color="auto"/>
      </w:divBdr>
    </w:div>
    <w:div w:id="880629057">
      <w:bodyDiv w:val="1"/>
      <w:marLeft w:val="0"/>
      <w:marRight w:val="0"/>
      <w:marTop w:val="0"/>
      <w:marBottom w:val="0"/>
      <w:divBdr>
        <w:top w:val="none" w:sz="0" w:space="0" w:color="auto"/>
        <w:left w:val="none" w:sz="0" w:space="0" w:color="auto"/>
        <w:bottom w:val="none" w:sz="0" w:space="0" w:color="auto"/>
        <w:right w:val="none" w:sz="0" w:space="0" w:color="auto"/>
      </w:divBdr>
    </w:div>
    <w:div w:id="886723467">
      <w:bodyDiv w:val="1"/>
      <w:marLeft w:val="0"/>
      <w:marRight w:val="0"/>
      <w:marTop w:val="0"/>
      <w:marBottom w:val="0"/>
      <w:divBdr>
        <w:top w:val="none" w:sz="0" w:space="0" w:color="auto"/>
        <w:left w:val="none" w:sz="0" w:space="0" w:color="auto"/>
        <w:bottom w:val="none" w:sz="0" w:space="0" w:color="auto"/>
        <w:right w:val="none" w:sz="0" w:space="0" w:color="auto"/>
      </w:divBdr>
    </w:div>
    <w:div w:id="890842846">
      <w:bodyDiv w:val="1"/>
      <w:marLeft w:val="0"/>
      <w:marRight w:val="0"/>
      <w:marTop w:val="0"/>
      <w:marBottom w:val="0"/>
      <w:divBdr>
        <w:top w:val="none" w:sz="0" w:space="0" w:color="auto"/>
        <w:left w:val="none" w:sz="0" w:space="0" w:color="auto"/>
        <w:bottom w:val="none" w:sz="0" w:space="0" w:color="auto"/>
        <w:right w:val="none" w:sz="0" w:space="0" w:color="auto"/>
      </w:divBdr>
    </w:div>
    <w:div w:id="896207974">
      <w:bodyDiv w:val="1"/>
      <w:marLeft w:val="0"/>
      <w:marRight w:val="0"/>
      <w:marTop w:val="0"/>
      <w:marBottom w:val="0"/>
      <w:divBdr>
        <w:top w:val="none" w:sz="0" w:space="0" w:color="auto"/>
        <w:left w:val="none" w:sz="0" w:space="0" w:color="auto"/>
        <w:bottom w:val="none" w:sz="0" w:space="0" w:color="auto"/>
        <w:right w:val="none" w:sz="0" w:space="0" w:color="auto"/>
      </w:divBdr>
    </w:div>
    <w:div w:id="897738906">
      <w:bodyDiv w:val="1"/>
      <w:marLeft w:val="0"/>
      <w:marRight w:val="0"/>
      <w:marTop w:val="0"/>
      <w:marBottom w:val="0"/>
      <w:divBdr>
        <w:top w:val="none" w:sz="0" w:space="0" w:color="auto"/>
        <w:left w:val="none" w:sz="0" w:space="0" w:color="auto"/>
        <w:bottom w:val="none" w:sz="0" w:space="0" w:color="auto"/>
        <w:right w:val="none" w:sz="0" w:space="0" w:color="auto"/>
      </w:divBdr>
    </w:div>
    <w:div w:id="898247804">
      <w:bodyDiv w:val="1"/>
      <w:marLeft w:val="0"/>
      <w:marRight w:val="0"/>
      <w:marTop w:val="0"/>
      <w:marBottom w:val="0"/>
      <w:divBdr>
        <w:top w:val="none" w:sz="0" w:space="0" w:color="auto"/>
        <w:left w:val="none" w:sz="0" w:space="0" w:color="auto"/>
        <w:bottom w:val="none" w:sz="0" w:space="0" w:color="auto"/>
        <w:right w:val="none" w:sz="0" w:space="0" w:color="auto"/>
      </w:divBdr>
    </w:div>
    <w:div w:id="900211577">
      <w:bodyDiv w:val="1"/>
      <w:marLeft w:val="0"/>
      <w:marRight w:val="0"/>
      <w:marTop w:val="0"/>
      <w:marBottom w:val="0"/>
      <w:divBdr>
        <w:top w:val="none" w:sz="0" w:space="0" w:color="auto"/>
        <w:left w:val="none" w:sz="0" w:space="0" w:color="auto"/>
        <w:bottom w:val="none" w:sz="0" w:space="0" w:color="auto"/>
        <w:right w:val="none" w:sz="0" w:space="0" w:color="auto"/>
      </w:divBdr>
    </w:div>
    <w:div w:id="900991607">
      <w:bodyDiv w:val="1"/>
      <w:marLeft w:val="0"/>
      <w:marRight w:val="0"/>
      <w:marTop w:val="0"/>
      <w:marBottom w:val="0"/>
      <w:divBdr>
        <w:top w:val="none" w:sz="0" w:space="0" w:color="auto"/>
        <w:left w:val="none" w:sz="0" w:space="0" w:color="auto"/>
        <w:bottom w:val="none" w:sz="0" w:space="0" w:color="auto"/>
        <w:right w:val="none" w:sz="0" w:space="0" w:color="auto"/>
      </w:divBdr>
    </w:div>
    <w:div w:id="907417734">
      <w:bodyDiv w:val="1"/>
      <w:marLeft w:val="0"/>
      <w:marRight w:val="0"/>
      <w:marTop w:val="0"/>
      <w:marBottom w:val="0"/>
      <w:divBdr>
        <w:top w:val="none" w:sz="0" w:space="0" w:color="auto"/>
        <w:left w:val="none" w:sz="0" w:space="0" w:color="auto"/>
        <w:bottom w:val="none" w:sz="0" w:space="0" w:color="auto"/>
        <w:right w:val="none" w:sz="0" w:space="0" w:color="auto"/>
      </w:divBdr>
    </w:div>
    <w:div w:id="915632854">
      <w:bodyDiv w:val="1"/>
      <w:marLeft w:val="0"/>
      <w:marRight w:val="0"/>
      <w:marTop w:val="0"/>
      <w:marBottom w:val="0"/>
      <w:divBdr>
        <w:top w:val="none" w:sz="0" w:space="0" w:color="auto"/>
        <w:left w:val="none" w:sz="0" w:space="0" w:color="auto"/>
        <w:bottom w:val="none" w:sz="0" w:space="0" w:color="auto"/>
        <w:right w:val="none" w:sz="0" w:space="0" w:color="auto"/>
      </w:divBdr>
    </w:div>
    <w:div w:id="918296229">
      <w:bodyDiv w:val="1"/>
      <w:marLeft w:val="0"/>
      <w:marRight w:val="0"/>
      <w:marTop w:val="0"/>
      <w:marBottom w:val="0"/>
      <w:divBdr>
        <w:top w:val="none" w:sz="0" w:space="0" w:color="auto"/>
        <w:left w:val="none" w:sz="0" w:space="0" w:color="auto"/>
        <w:bottom w:val="none" w:sz="0" w:space="0" w:color="auto"/>
        <w:right w:val="none" w:sz="0" w:space="0" w:color="auto"/>
      </w:divBdr>
    </w:div>
    <w:div w:id="925268682">
      <w:bodyDiv w:val="1"/>
      <w:marLeft w:val="0"/>
      <w:marRight w:val="0"/>
      <w:marTop w:val="0"/>
      <w:marBottom w:val="0"/>
      <w:divBdr>
        <w:top w:val="none" w:sz="0" w:space="0" w:color="auto"/>
        <w:left w:val="none" w:sz="0" w:space="0" w:color="auto"/>
        <w:bottom w:val="none" w:sz="0" w:space="0" w:color="auto"/>
        <w:right w:val="none" w:sz="0" w:space="0" w:color="auto"/>
      </w:divBdr>
    </w:div>
    <w:div w:id="927546121">
      <w:bodyDiv w:val="1"/>
      <w:marLeft w:val="0"/>
      <w:marRight w:val="0"/>
      <w:marTop w:val="0"/>
      <w:marBottom w:val="0"/>
      <w:divBdr>
        <w:top w:val="none" w:sz="0" w:space="0" w:color="auto"/>
        <w:left w:val="none" w:sz="0" w:space="0" w:color="auto"/>
        <w:bottom w:val="none" w:sz="0" w:space="0" w:color="auto"/>
        <w:right w:val="none" w:sz="0" w:space="0" w:color="auto"/>
      </w:divBdr>
    </w:div>
    <w:div w:id="929504846">
      <w:bodyDiv w:val="1"/>
      <w:marLeft w:val="0"/>
      <w:marRight w:val="0"/>
      <w:marTop w:val="0"/>
      <w:marBottom w:val="0"/>
      <w:divBdr>
        <w:top w:val="none" w:sz="0" w:space="0" w:color="auto"/>
        <w:left w:val="none" w:sz="0" w:space="0" w:color="auto"/>
        <w:bottom w:val="none" w:sz="0" w:space="0" w:color="auto"/>
        <w:right w:val="none" w:sz="0" w:space="0" w:color="auto"/>
      </w:divBdr>
    </w:div>
    <w:div w:id="929895941">
      <w:bodyDiv w:val="1"/>
      <w:marLeft w:val="0"/>
      <w:marRight w:val="0"/>
      <w:marTop w:val="0"/>
      <w:marBottom w:val="0"/>
      <w:divBdr>
        <w:top w:val="none" w:sz="0" w:space="0" w:color="auto"/>
        <w:left w:val="none" w:sz="0" w:space="0" w:color="auto"/>
        <w:bottom w:val="none" w:sz="0" w:space="0" w:color="auto"/>
        <w:right w:val="none" w:sz="0" w:space="0" w:color="auto"/>
      </w:divBdr>
    </w:div>
    <w:div w:id="930969534">
      <w:bodyDiv w:val="1"/>
      <w:marLeft w:val="0"/>
      <w:marRight w:val="0"/>
      <w:marTop w:val="0"/>
      <w:marBottom w:val="0"/>
      <w:divBdr>
        <w:top w:val="none" w:sz="0" w:space="0" w:color="auto"/>
        <w:left w:val="none" w:sz="0" w:space="0" w:color="auto"/>
        <w:bottom w:val="none" w:sz="0" w:space="0" w:color="auto"/>
        <w:right w:val="none" w:sz="0" w:space="0" w:color="auto"/>
      </w:divBdr>
    </w:div>
    <w:div w:id="952632960">
      <w:bodyDiv w:val="1"/>
      <w:marLeft w:val="0"/>
      <w:marRight w:val="0"/>
      <w:marTop w:val="0"/>
      <w:marBottom w:val="0"/>
      <w:divBdr>
        <w:top w:val="none" w:sz="0" w:space="0" w:color="auto"/>
        <w:left w:val="none" w:sz="0" w:space="0" w:color="auto"/>
        <w:bottom w:val="none" w:sz="0" w:space="0" w:color="auto"/>
        <w:right w:val="none" w:sz="0" w:space="0" w:color="auto"/>
      </w:divBdr>
    </w:div>
    <w:div w:id="954140926">
      <w:bodyDiv w:val="1"/>
      <w:marLeft w:val="0"/>
      <w:marRight w:val="0"/>
      <w:marTop w:val="0"/>
      <w:marBottom w:val="0"/>
      <w:divBdr>
        <w:top w:val="none" w:sz="0" w:space="0" w:color="auto"/>
        <w:left w:val="none" w:sz="0" w:space="0" w:color="auto"/>
        <w:bottom w:val="none" w:sz="0" w:space="0" w:color="auto"/>
        <w:right w:val="none" w:sz="0" w:space="0" w:color="auto"/>
      </w:divBdr>
    </w:div>
    <w:div w:id="959342007">
      <w:bodyDiv w:val="1"/>
      <w:marLeft w:val="0"/>
      <w:marRight w:val="0"/>
      <w:marTop w:val="0"/>
      <w:marBottom w:val="0"/>
      <w:divBdr>
        <w:top w:val="none" w:sz="0" w:space="0" w:color="auto"/>
        <w:left w:val="none" w:sz="0" w:space="0" w:color="auto"/>
        <w:bottom w:val="none" w:sz="0" w:space="0" w:color="auto"/>
        <w:right w:val="none" w:sz="0" w:space="0" w:color="auto"/>
      </w:divBdr>
    </w:div>
    <w:div w:id="964701155">
      <w:bodyDiv w:val="1"/>
      <w:marLeft w:val="0"/>
      <w:marRight w:val="0"/>
      <w:marTop w:val="0"/>
      <w:marBottom w:val="0"/>
      <w:divBdr>
        <w:top w:val="none" w:sz="0" w:space="0" w:color="auto"/>
        <w:left w:val="none" w:sz="0" w:space="0" w:color="auto"/>
        <w:bottom w:val="none" w:sz="0" w:space="0" w:color="auto"/>
        <w:right w:val="none" w:sz="0" w:space="0" w:color="auto"/>
      </w:divBdr>
    </w:div>
    <w:div w:id="970982320">
      <w:bodyDiv w:val="1"/>
      <w:marLeft w:val="0"/>
      <w:marRight w:val="0"/>
      <w:marTop w:val="0"/>
      <w:marBottom w:val="0"/>
      <w:divBdr>
        <w:top w:val="none" w:sz="0" w:space="0" w:color="auto"/>
        <w:left w:val="none" w:sz="0" w:space="0" w:color="auto"/>
        <w:bottom w:val="none" w:sz="0" w:space="0" w:color="auto"/>
        <w:right w:val="none" w:sz="0" w:space="0" w:color="auto"/>
      </w:divBdr>
    </w:div>
    <w:div w:id="972710651">
      <w:bodyDiv w:val="1"/>
      <w:marLeft w:val="0"/>
      <w:marRight w:val="0"/>
      <w:marTop w:val="0"/>
      <w:marBottom w:val="0"/>
      <w:divBdr>
        <w:top w:val="none" w:sz="0" w:space="0" w:color="auto"/>
        <w:left w:val="none" w:sz="0" w:space="0" w:color="auto"/>
        <w:bottom w:val="none" w:sz="0" w:space="0" w:color="auto"/>
        <w:right w:val="none" w:sz="0" w:space="0" w:color="auto"/>
      </w:divBdr>
    </w:div>
    <w:div w:id="987131315">
      <w:bodyDiv w:val="1"/>
      <w:marLeft w:val="0"/>
      <w:marRight w:val="0"/>
      <w:marTop w:val="0"/>
      <w:marBottom w:val="0"/>
      <w:divBdr>
        <w:top w:val="none" w:sz="0" w:space="0" w:color="auto"/>
        <w:left w:val="none" w:sz="0" w:space="0" w:color="auto"/>
        <w:bottom w:val="none" w:sz="0" w:space="0" w:color="auto"/>
        <w:right w:val="none" w:sz="0" w:space="0" w:color="auto"/>
      </w:divBdr>
    </w:div>
    <w:div w:id="990645297">
      <w:bodyDiv w:val="1"/>
      <w:marLeft w:val="0"/>
      <w:marRight w:val="0"/>
      <w:marTop w:val="0"/>
      <w:marBottom w:val="0"/>
      <w:divBdr>
        <w:top w:val="none" w:sz="0" w:space="0" w:color="auto"/>
        <w:left w:val="none" w:sz="0" w:space="0" w:color="auto"/>
        <w:bottom w:val="none" w:sz="0" w:space="0" w:color="auto"/>
        <w:right w:val="none" w:sz="0" w:space="0" w:color="auto"/>
      </w:divBdr>
    </w:div>
    <w:div w:id="992442518">
      <w:bodyDiv w:val="1"/>
      <w:marLeft w:val="0"/>
      <w:marRight w:val="0"/>
      <w:marTop w:val="0"/>
      <w:marBottom w:val="0"/>
      <w:divBdr>
        <w:top w:val="none" w:sz="0" w:space="0" w:color="auto"/>
        <w:left w:val="none" w:sz="0" w:space="0" w:color="auto"/>
        <w:bottom w:val="none" w:sz="0" w:space="0" w:color="auto"/>
        <w:right w:val="none" w:sz="0" w:space="0" w:color="auto"/>
      </w:divBdr>
    </w:div>
    <w:div w:id="992561638">
      <w:bodyDiv w:val="1"/>
      <w:marLeft w:val="0"/>
      <w:marRight w:val="0"/>
      <w:marTop w:val="0"/>
      <w:marBottom w:val="0"/>
      <w:divBdr>
        <w:top w:val="none" w:sz="0" w:space="0" w:color="auto"/>
        <w:left w:val="none" w:sz="0" w:space="0" w:color="auto"/>
        <w:bottom w:val="none" w:sz="0" w:space="0" w:color="auto"/>
        <w:right w:val="none" w:sz="0" w:space="0" w:color="auto"/>
      </w:divBdr>
    </w:div>
    <w:div w:id="999506858">
      <w:bodyDiv w:val="1"/>
      <w:marLeft w:val="0"/>
      <w:marRight w:val="0"/>
      <w:marTop w:val="0"/>
      <w:marBottom w:val="0"/>
      <w:divBdr>
        <w:top w:val="none" w:sz="0" w:space="0" w:color="auto"/>
        <w:left w:val="none" w:sz="0" w:space="0" w:color="auto"/>
        <w:bottom w:val="none" w:sz="0" w:space="0" w:color="auto"/>
        <w:right w:val="none" w:sz="0" w:space="0" w:color="auto"/>
      </w:divBdr>
    </w:div>
    <w:div w:id="1017579214">
      <w:bodyDiv w:val="1"/>
      <w:marLeft w:val="0"/>
      <w:marRight w:val="0"/>
      <w:marTop w:val="0"/>
      <w:marBottom w:val="0"/>
      <w:divBdr>
        <w:top w:val="none" w:sz="0" w:space="0" w:color="auto"/>
        <w:left w:val="none" w:sz="0" w:space="0" w:color="auto"/>
        <w:bottom w:val="none" w:sz="0" w:space="0" w:color="auto"/>
        <w:right w:val="none" w:sz="0" w:space="0" w:color="auto"/>
      </w:divBdr>
    </w:div>
    <w:div w:id="1019770886">
      <w:bodyDiv w:val="1"/>
      <w:marLeft w:val="0"/>
      <w:marRight w:val="0"/>
      <w:marTop w:val="0"/>
      <w:marBottom w:val="0"/>
      <w:divBdr>
        <w:top w:val="none" w:sz="0" w:space="0" w:color="auto"/>
        <w:left w:val="none" w:sz="0" w:space="0" w:color="auto"/>
        <w:bottom w:val="none" w:sz="0" w:space="0" w:color="auto"/>
        <w:right w:val="none" w:sz="0" w:space="0" w:color="auto"/>
      </w:divBdr>
    </w:div>
    <w:div w:id="1028019701">
      <w:bodyDiv w:val="1"/>
      <w:marLeft w:val="0"/>
      <w:marRight w:val="0"/>
      <w:marTop w:val="0"/>
      <w:marBottom w:val="0"/>
      <w:divBdr>
        <w:top w:val="none" w:sz="0" w:space="0" w:color="auto"/>
        <w:left w:val="none" w:sz="0" w:space="0" w:color="auto"/>
        <w:bottom w:val="none" w:sz="0" w:space="0" w:color="auto"/>
        <w:right w:val="none" w:sz="0" w:space="0" w:color="auto"/>
      </w:divBdr>
    </w:div>
    <w:div w:id="1030179550">
      <w:bodyDiv w:val="1"/>
      <w:marLeft w:val="0"/>
      <w:marRight w:val="0"/>
      <w:marTop w:val="0"/>
      <w:marBottom w:val="0"/>
      <w:divBdr>
        <w:top w:val="none" w:sz="0" w:space="0" w:color="auto"/>
        <w:left w:val="none" w:sz="0" w:space="0" w:color="auto"/>
        <w:bottom w:val="none" w:sz="0" w:space="0" w:color="auto"/>
        <w:right w:val="none" w:sz="0" w:space="0" w:color="auto"/>
      </w:divBdr>
    </w:div>
    <w:div w:id="1032075263">
      <w:bodyDiv w:val="1"/>
      <w:marLeft w:val="0"/>
      <w:marRight w:val="0"/>
      <w:marTop w:val="0"/>
      <w:marBottom w:val="0"/>
      <w:divBdr>
        <w:top w:val="none" w:sz="0" w:space="0" w:color="auto"/>
        <w:left w:val="none" w:sz="0" w:space="0" w:color="auto"/>
        <w:bottom w:val="none" w:sz="0" w:space="0" w:color="auto"/>
        <w:right w:val="none" w:sz="0" w:space="0" w:color="auto"/>
      </w:divBdr>
    </w:div>
    <w:div w:id="1032457687">
      <w:bodyDiv w:val="1"/>
      <w:marLeft w:val="0"/>
      <w:marRight w:val="0"/>
      <w:marTop w:val="0"/>
      <w:marBottom w:val="0"/>
      <w:divBdr>
        <w:top w:val="none" w:sz="0" w:space="0" w:color="auto"/>
        <w:left w:val="none" w:sz="0" w:space="0" w:color="auto"/>
        <w:bottom w:val="none" w:sz="0" w:space="0" w:color="auto"/>
        <w:right w:val="none" w:sz="0" w:space="0" w:color="auto"/>
      </w:divBdr>
    </w:div>
    <w:div w:id="1034161297">
      <w:bodyDiv w:val="1"/>
      <w:marLeft w:val="0"/>
      <w:marRight w:val="0"/>
      <w:marTop w:val="0"/>
      <w:marBottom w:val="0"/>
      <w:divBdr>
        <w:top w:val="none" w:sz="0" w:space="0" w:color="auto"/>
        <w:left w:val="none" w:sz="0" w:space="0" w:color="auto"/>
        <w:bottom w:val="none" w:sz="0" w:space="0" w:color="auto"/>
        <w:right w:val="none" w:sz="0" w:space="0" w:color="auto"/>
      </w:divBdr>
    </w:div>
    <w:div w:id="1038511354">
      <w:bodyDiv w:val="1"/>
      <w:marLeft w:val="0"/>
      <w:marRight w:val="0"/>
      <w:marTop w:val="0"/>
      <w:marBottom w:val="0"/>
      <w:divBdr>
        <w:top w:val="none" w:sz="0" w:space="0" w:color="auto"/>
        <w:left w:val="none" w:sz="0" w:space="0" w:color="auto"/>
        <w:bottom w:val="none" w:sz="0" w:space="0" w:color="auto"/>
        <w:right w:val="none" w:sz="0" w:space="0" w:color="auto"/>
      </w:divBdr>
    </w:div>
    <w:div w:id="1039205645">
      <w:bodyDiv w:val="1"/>
      <w:marLeft w:val="0"/>
      <w:marRight w:val="0"/>
      <w:marTop w:val="0"/>
      <w:marBottom w:val="0"/>
      <w:divBdr>
        <w:top w:val="none" w:sz="0" w:space="0" w:color="auto"/>
        <w:left w:val="none" w:sz="0" w:space="0" w:color="auto"/>
        <w:bottom w:val="none" w:sz="0" w:space="0" w:color="auto"/>
        <w:right w:val="none" w:sz="0" w:space="0" w:color="auto"/>
      </w:divBdr>
    </w:div>
    <w:div w:id="1041393739">
      <w:bodyDiv w:val="1"/>
      <w:marLeft w:val="0"/>
      <w:marRight w:val="0"/>
      <w:marTop w:val="0"/>
      <w:marBottom w:val="0"/>
      <w:divBdr>
        <w:top w:val="none" w:sz="0" w:space="0" w:color="auto"/>
        <w:left w:val="none" w:sz="0" w:space="0" w:color="auto"/>
        <w:bottom w:val="none" w:sz="0" w:space="0" w:color="auto"/>
        <w:right w:val="none" w:sz="0" w:space="0" w:color="auto"/>
      </w:divBdr>
    </w:div>
    <w:div w:id="1055813625">
      <w:bodyDiv w:val="1"/>
      <w:marLeft w:val="0"/>
      <w:marRight w:val="0"/>
      <w:marTop w:val="0"/>
      <w:marBottom w:val="0"/>
      <w:divBdr>
        <w:top w:val="none" w:sz="0" w:space="0" w:color="auto"/>
        <w:left w:val="none" w:sz="0" w:space="0" w:color="auto"/>
        <w:bottom w:val="none" w:sz="0" w:space="0" w:color="auto"/>
        <w:right w:val="none" w:sz="0" w:space="0" w:color="auto"/>
      </w:divBdr>
    </w:div>
    <w:div w:id="1055853774">
      <w:bodyDiv w:val="1"/>
      <w:marLeft w:val="0"/>
      <w:marRight w:val="0"/>
      <w:marTop w:val="0"/>
      <w:marBottom w:val="0"/>
      <w:divBdr>
        <w:top w:val="none" w:sz="0" w:space="0" w:color="auto"/>
        <w:left w:val="none" w:sz="0" w:space="0" w:color="auto"/>
        <w:bottom w:val="none" w:sz="0" w:space="0" w:color="auto"/>
        <w:right w:val="none" w:sz="0" w:space="0" w:color="auto"/>
      </w:divBdr>
    </w:div>
    <w:div w:id="1058675535">
      <w:bodyDiv w:val="1"/>
      <w:marLeft w:val="0"/>
      <w:marRight w:val="0"/>
      <w:marTop w:val="0"/>
      <w:marBottom w:val="0"/>
      <w:divBdr>
        <w:top w:val="none" w:sz="0" w:space="0" w:color="auto"/>
        <w:left w:val="none" w:sz="0" w:space="0" w:color="auto"/>
        <w:bottom w:val="none" w:sz="0" w:space="0" w:color="auto"/>
        <w:right w:val="none" w:sz="0" w:space="0" w:color="auto"/>
      </w:divBdr>
    </w:div>
    <w:div w:id="1061055373">
      <w:bodyDiv w:val="1"/>
      <w:marLeft w:val="0"/>
      <w:marRight w:val="0"/>
      <w:marTop w:val="0"/>
      <w:marBottom w:val="0"/>
      <w:divBdr>
        <w:top w:val="none" w:sz="0" w:space="0" w:color="auto"/>
        <w:left w:val="none" w:sz="0" w:space="0" w:color="auto"/>
        <w:bottom w:val="none" w:sz="0" w:space="0" w:color="auto"/>
        <w:right w:val="none" w:sz="0" w:space="0" w:color="auto"/>
      </w:divBdr>
    </w:div>
    <w:div w:id="1063603224">
      <w:bodyDiv w:val="1"/>
      <w:marLeft w:val="0"/>
      <w:marRight w:val="0"/>
      <w:marTop w:val="0"/>
      <w:marBottom w:val="0"/>
      <w:divBdr>
        <w:top w:val="none" w:sz="0" w:space="0" w:color="auto"/>
        <w:left w:val="none" w:sz="0" w:space="0" w:color="auto"/>
        <w:bottom w:val="none" w:sz="0" w:space="0" w:color="auto"/>
        <w:right w:val="none" w:sz="0" w:space="0" w:color="auto"/>
      </w:divBdr>
    </w:div>
    <w:div w:id="1067338627">
      <w:bodyDiv w:val="1"/>
      <w:marLeft w:val="0"/>
      <w:marRight w:val="0"/>
      <w:marTop w:val="0"/>
      <w:marBottom w:val="0"/>
      <w:divBdr>
        <w:top w:val="none" w:sz="0" w:space="0" w:color="auto"/>
        <w:left w:val="none" w:sz="0" w:space="0" w:color="auto"/>
        <w:bottom w:val="none" w:sz="0" w:space="0" w:color="auto"/>
        <w:right w:val="none" w:sz="0" w:space="0" w:color="auto"/>
      </w:divBdr>
    </w:div>
    <w:div w:id="1068187386">
      <w:bodyDiv w:val="1"/>
      <w:marLeft w:val="0"/>
      <w:marRight w:val="0"/>
      <w:marTop w:val="0"/>
      <w:marBottom w:val="0"/>
      <w:divBdr>
        <w:top w:val="none" w:sz="0" w:space="0" w:color="auto"/>
        <w:left w:val="none" w:sz="0" w:space="0" w:color="auto"/>
        <w:bottom w:val="none" w:sz="0" w:space="0" w:color="auto"/>
        <w:right w:val="none" w:sz="0" w:space="0" w:color="auto"/>
      </w:divBdr>
    </w:div>
    <w:div w:id="1074546368">
      <w:bodyDiv w:val="1"/>
      <w:marLeft w:val="0"/>
      <w:marRight w:val="0"/>
      <w:marTop w:val="0"/>
      <w:marBottom w:val="0"/>
      <w:divBdr>
        <w:top w:val="none" w:sz="0" w:space="0" w:color="auto"/>
        <w:left w:val="none" w:sz="0" w:space="0" w:color="auto"/>
        <w:bottom w:val="none" w:sz="0" w:space="0" w:color="auto"/>
        <w:right w:val="none" w:sz="0" w:space="0" w:color="auto"/>
      </w:divBdr>
    </w:div>
    <w:div w:id="1084953557">
      <w:bodyDiv w:val="1"/>
      <w:marLeft w:val="0"/>
      <w:marRight w:val="0"/>
      <w:marTop w:val="0"/>
      <w:marBottom w:val="0"/>
      <w:divBdr>
        <w:top w:val="none" w:sz="0" w:space="0" w:color="auto"/>
        <w:left w:val="none" w:sz="0" w:space="0" w:color="auto"/>
        <w:bottom w:val="none" w:sz="0" w:space="0" w:color="auto"/>
        <w:right w:val="none" w:sz="0" w:space="0" w:color="auto"/>
      </w:divBdr>
    </w:div>
    <w:div w:id="1087579509">
      <w:bodyDiv w:val="1"/>
      <w:marLeft w:val="0"/>
      <w:marRight w:val="0"/>
      <w:marTop w:val="0"/>
      <w:marBottom w:val="0"/>
      <w:divBdr>
        <w:top w:val="none" w:sz="0" w:space="0" w:color="auto"/>
        <w:left w:val="none" w:sz="0" w:space="0" w:color="auto"/>
        <w:bottom w:val="none" w:sz="0" w:space="0" w:color="auto"/>
        <w:right w:val="none" w:sz="0" w:space="0" w:color="auto"/>
      </w:divBdr>
    </w:div>
    <w:div w:id="1090196243">
      <w:bodyDiv w:val="1"/>
      <w:marLeft w:val="0"/>
      <w:marRight w:val="0"/>
      <w:marTop w:val="0"/>
      <w:marBottom w:val="0"/>
      <w:divBdr>
        <w:top w:val="none" w:sz="0" w:space="0" w:color="auto"/>
        <w:left w:val="none" w:sz="0" w:space="0" w:color="auto"/>
        <w:bottom w:val="none" w:sz="0" w:space="0" w:color="auto"/>
        <w:right w:val="none" w:sz="0" w:space="0" w:color="auto"/>
      </w:divBdr>
    </w:div>
    <w:div w:id="1092824210">
      <w:bodyDiv w:val="1"/>
      <w:marLeft w:val="0"/>
      <w:marRight w:val="0"/>
      <w:marTop w:val="0"/>
      <w:marBottom w:val="0"/>
      <w:divBdr>
        <w:top w:val="none" w:sz="0" w:space="0" w:color="auto"/>
        <w:left w:val="none" w:sz="0" w:space="0" w:color="auto"/>
        <w:bottom w:val="none" w:sz="0" w:space="0" w:color="auto"/>
        <w:right w:val="none" w:sz="0" w:space="0" w:color="auto"/>
      </w:divBdr>
    </w:div>
    <w:div w:id="1094668817">
      <w:bodyDiv w:val="1"/>
      <w:marLeft w:val="0"/>
      <w:marRight w:val="0"/>
      <w:marTop w:val="0"/>
      <w:marBottom w:val="0"/>
      <w:divBdr>
        <w:top w:val="none" w:sz="0" w:space="0" w:color="auto"/>
        <w:left w:val="none" w:sz="0" w:space="0" w:color="auto"/>
        <w:bottom w:val="none" w:sz="0" w:space="0" w:color="auto"/>
        <w:right w:val="none" w:sz="0" w:space="0" w:color="auto"/>
      </w:divBdr>
    </w:div>
    <w:div w:id="1095394220">
      <w:bodyDiv w:val="1"/>
      <w:marLeft w:val="0"/>
      <w:marRight w:val="0"/>
      <w:marTop w:val="0"/>
      <w:marBottom w:val="0"/>
      <w:divBdr>
        <w:top w:val="none" w:sz="0" w:space="0" w:color="auto"/>
        <w:left w:val="none" w:sz="0" w:space="0" w:color="auto"/>
        <w:bottom w:val="none" w:sz="0" w:space="0" w:color="auto"/>
        <w:right w:val="none" w:sz="0" w:space="0" w:color="auto"/>
      </w:divBdr>
    </w:div>
    <w:div w:id="1098327842">
      <w:bodyDiv w:val="1"/>
      <w:marLeft w:val="0"/>
      <w:marRight w:val="0"/>
      <w:marTop w:val="0"/>
      <w:marBottom w:val="0"/>
      <w:divBdr>
        <w:top w:val="none" w:sz="0" w:space="0" w:color="auto"/>
        <w:left w:val="none" w:sz="0" w:space="0" w:color="auto"/>
        <w:bottom w:val="none" w:sz="0" w:space="0" w:color="auto"/>
        <w:right w:val="none" w:sz="0" w:space="0" w:color="auto"/>
      </w:divBdr>
    </w:div>
    <w:div w:id="1102258522">
      <w:bodyDiv w:val="1"/>
      <w:marLeft w:val="0"/>
      <w:marRight w:val="0"/>
      <w:marTop w:val="0"/>
      <w:marBottom w:val="0"/>
      <w:divBdr>
        <w:top w:val="none" w:sz="0" w:space="0" w:color="auto"/>
        <w:left w:val="none" w:sz="0" w:space="0" w:color="auto"/>
        <w:bottom w:val="none" w:sz="0" w:space="0" w:color="auto"/>
        <w:right w:val="none" w:sz="0" w:space="0" w:color="auto"/>
      </w:divBdr>
    </w:div>
    <w:div w:id="1103920890">
      <w:bodyDiv w:val="1"/>
      <w:marLeft w:val="0"/>
      <w:marRight w:val="0"/>
      <w:marTop w:val="0"/>
      <w:marBottom w:val="0"/>
      <w:divBdr>
        <w:top w:val="none" w:sz="0" w:space="0" w:color="auto"/>
        <w:left w:val="none" w:sz="0" w:space="0" w:color="auto"/>
        <w:bottom w:val="none" w:sz="0" w:space="0" w:color="auto"/>
        <w:right w:val="none" w:sz="0" w:space="0" w:color="auto"/>
      </w:divBdr>
    </w:div>
    <w:div w:id="1109472909">
      <w:bodyDiv w:val="1"/>
      <w:marLeft w:val="0"/>
      <w:marRight w:val="0"/>
      <w:marTop w:val="0"/>
      <w:marBottom w:val="0"/>
      <w:divBdr>
        <w:top w:val="none" w:sz="0" w:space="0" w:color="auto"/>
        <w:left w:val="none" w:sz="0" w:space="0" w:color="auto"/>
        <w:bottom w:val="none" w:sz="0" w:space="0" w:color="auto"/>
        <w:right w:val="none" w:sz="0" w:space="0" w:color="auto"/>
      </w:divBdr>
    </w:div>
    <w:div w:id="1113784397">
      <w:bodyDiv w:val="1"/>
      <w:marLeft w:val="0"/>
      <w:marRight w:val="0"/>
      <w:marTop w:val="0"/>
      <w:marBottom w:val="0"/>
      <w:divBdr>
        <w:top w:val="none" w:sz="0" w:space="0" w:color="auto"/>
        <w:left w:val="none" w:sz="0" w:space="0" w:color="auto"/>
        <w:bottom w:val="none" w:sz="0" w:space="0" w:color="auto"/>
        <w:right w:val="none" w:sz="0" w:space="0" w:color="auto"/>
      </w:divBdr>
    </w:div>
    <w:div w:id="1117529049">
      <w:bodyDiv w:val="1"/>
      <w:marLeft w:val="0"/>
      <w:marRight w:val="0"/>
      <w:marTop w:val="0"/>
      <w:marBottom w:val="0"/>
      <w:divBdr>
        <w:top w:val="none" w:sz="0" w:space="0" w:color="auto"/>
        <w:left w:val="none" w:sz="0" w:space="0" w:color="auto"/>
        <w:bottom w:val="none" w:sz="0" w:space="0" w:color="auto"/>
        <w:right w:val="none" w:sz="0" w:space="0" w:color="auto"/>
      </w:divBdr>
    </w:div>
    <w:div w:id="1120341123">
      <w:bodyDiv w:val="1"/>
      <w:marLeft w:val="0"/>
      <w:marRight w:val="0"/>
      <w:marTop w:val="0"/>
      <w:marBottom w:val="0"/>
      <w:divBdr>
        <w:top w:val="none" w:sz="0" w:space="0" w:color="auto"/>
        <w:left w:val="none" w:sz="0" w:space="0" w:color="auto"/>
        <w:bottom w:val="none" w:sz="0" w:space="0" w:color="auto"/>
        <w:right w:val="none" w:sz="0" w:space="0" w:color="auto"/>
      </w:divBdr>
    </w:div>
    <w:div w:id="1124155385">
      <w:bodyDiv w:val="1"/>
      <w:marLeft w:val="0"/>
      <w:marRight w:val="0"/>
      <w:marTop w:val="0"/>
      <w:marBottom w:val="0"/>
      <w:divBdr>
        <w:top w:val="none" w:sz="0" w:space="0" w:color="auto"/>
        <w:left w:val="none" w:sz="0" w:space="0" w:color="auto"/>
        <w:bottom w:val="none" w:sz="0" w:space="0" w:color="auto"/>
        <w:right w:val="none" w:sz="0" w:space="0" w:color="auto"/>
      </w:divBdr>
    </w:div>
    <w:div w:id="1124886439">
      <w:bodyDiv w:val="1"/>
      <w:marLeft w:val="0"/>
      <w:marRight w:val="0"/>
      <w:marTop w:val="0"/>
      <w:marBottom w:val="0"/>
      <w:divBdr>
        <w:top w:val="none" w:sz="0" w:space="0" w:color="auto"/>
        <w:left w:val="none" w:sz="0" w:space="0" w:color="auto"/>
        <w:bottom w:val="none" w:sz="0" w:space="0" w:color="auto"/>
        <w:right w:val="none" w:sz="0" w:space="0" w:color="auto"/>
      </w:divBdr>
    </w:div>
    <w:div w:id="1125463601">
      <w:bodyDiv w:val="1"/>
      <w:marLeft w:val="0"/>
      <w:marRight w:val="0"/>
      <w:marTop w:val="0"/>
      <w:marBottom w:val="0"/>
      <w:divBdr>
        <w:top w:val="none" w:sz="0" w:space="0" w:color="auto"/>
        <w:left w:val="none" w:sz="0" w:space="0" w:color="auto"/>
        <w:bottom w:val="none" w:sz="0" w:space="0" w:color="auto"/>
        <w:right w:val="none" w:sz="0" w:space="0" w:color="auto"/>
      </w:divBdr>
    </w:div>
    <w:div w:id="1127971634">
      <w:bodyDiv w:val="1"/>
      <w:marLeft w:val="0"/>
      <w:marRight w:val="0"/>
      <w:marTop w:val="0"/>
      <w:marBottom w:val="0"/>
      <w:divBdr>
        <w:top w:val="none" w:sz="0" w:space="0" w:color="auto"/>
        <w:left w:val="none" w:sz="0" w:space="0" w:color="auto"/>
        <w:bottom w:val="none" w:sz="0" w:space="0" w:color="auto"/>
        <w:right w:val="none" w:sz="0" w:space="0" w:color="auto"/>
      </w:divBdr>
    </w:div>
    <w:div w:id="1129667632">
      <w:bodyDiv w:val="1"/>
      <w:marLeft w:val="0"/>
      <w:marRight w:val="0"/>
      <w:marTop w:val="0"/>
      <w:marBottom w:val="0"/>
      <w:divBdr>
        <w:top w:val="none" w:sz="0" w:space="0" w:color="auto"/>
        <w:left w:val="none" w:sz="0" w:space="0" w:color="auto"/>
        <w:bottom w:val="none" w:sz="0" w:space="0" w:color="auto"/>
        <w:right w:val="none" w:sz="0" w:space="0" w:color="auto"/>
      </w:divBdr>
    </w:div>
    <w:div w:id="1129860015">
      <w:bodyDiv w:val="1"/>
      <w:marLeft w:val="0"/>
      <w:marRight w:val="0"/>
      <w:marTop w:val="0"/>
      <w:marBottom w:val="0"/>
      <w:divBdr>
        <w:top w:val="none" w:sz="0" w:space="0" w:color="auto"/>
        <w:left w:val="none" w:sz="0" w:space="0" w:color="auto"/>
        <w:bottom w:val="none" w:sz="0" w:space="0" w:color="auto"/>
        <w:right w:val="none" w:sz="0" w:space="0" w:color="auto"/>
      </w:divBdr>
    </w:div>
    <w:div w:id="1137988910">
      <w:bodyDiv w:val="1"/>
      <w:marLeft w:val="0"/>
      <w:marRight w:val="0"/>
      <w:marTop w:val="0"/>
      <w:marBottom w:val="0"/>
      <w:divBdr>
        <w:top w:val="none" w:sz="0" w:space="0" w:color="auto"/>
        <w:left w:val="none" w:sz="0" w:space="0" w:color="auto"/>
        <w:bottom w:val="none" w:sz="0" w:space="0" w:color="auto"/>
        <w:right w:val="none" w:sz="0" w:space="0" w:color="auto"/>
      </w:divBdr>
    </w:div>
    <w:div w:id="1141001283">
      <w:bodyDiv w:val="1"/>
      <w:marLeft w:val="0"/>
      <w:marRight w:val="0"/>
      <w:marTop w:val="0"/>
      <w:marBottom w:val="0"/>
      <w:divBdr>
        <w:top w:val="none" w:sz="0" w:space="0" w:color="auto"/>
        <w:left w:val="none" w:sz="0" w:space="0" w:color="auto"/>
        <w:bottom w:val="none" w:sz="0" w:space="0" w:color="auto"/>
        <w:right w:val="none" w:sz="0" w:space="0" w:color="auto"/>
      </w:divBdr>
    </w:div>
    <w:div w:id="1141923351">
      <w:bodyDiv w:val="1"/>
      <w:marLeft w:val="0"/>
      <w:marRight w:val="0"/>
      <w:marTop w:val="0"/>
      <w:marBottom w:val="0"/>
      <w:divBdr>
        <w:top w:val="none" w:sz="0" w:space="0" w:color="auto"/>
        <w:left w:val="none" w:sz="0" w:space="0" w:color="auto"/>
        <w:bottom w:val="none" w:sz="0" w:space="0" w:color="auto"/>
        <w:right w:val="none" w:sz="0" w:space="0" w:color="auto"/>
      </w:divBdr>
    </w:div>
    <w:div w:id="1141993472">
      <w:bodyDiv w:val="1"/>
      <w:marLeft w:val="0"/>
      <w:marRight w:val="0"/>
      <w:marTop w:val="0"/>
      <w:marBottom w:val="0"/>
      <w:divBdr>
        <w:top w:val="none" w:sz="0" w:space="0" w:color="auto"/>
        <w:left w:val="none" w:sz="0" w:space="0" w:color="auto"/>
        <w:bottom w:val="none" w:sz="0" w:space="0" w:color="auto"/>
        <w:right w:val="none" w:sz="0" w:space="0" w:color="auto"/>
      </w:divBdr>
    </w:div>
    <w:div w:id="1142697971">
      <w:bodyDiv w:val="1"/>
      <w:marLeft w:val="0"/>
      <w:marRight w:val="0"/>
      <w:marTop w:val="0"/>
      <w:marBottom w:val="0"/>
      <w:divBdr>
        <w:top w:val="none" w:sz="0" w:space="0" w:color="auto"/>
        <w:left w:val="none" w:sz="0" w:space="0" w:color="auto"/>
        <w:bottom w:val="none" w:sz="0" w:space="0" w:color="auto"/>
        <w:right w:val="none" w:sz="0" w:space="0" w:color="auto"/>
      </w:divBdr>
    </w:div>
    <w:div w:id="1146506868">
      <w:bodyDiv w:val="1"/>
      <w:marLeft w:val="0"/>
      <w:marRight w:val="0"/>
      <w:marTop w:val="0"/>
      <w:marBottom w:val="0"/>
      <w:divBdr>
        <w:top w:val="none" w:sz="0" w:space="0" w:color="auto"/>
        <w:left w:val="none" w:sz="0" w:space="0" w:color="auto"/>
        <w:bottom w:val="none" w:sz="0" w:space="0" w:color="auto"/>
        <w:right w:val="none" w:sz="0" w:space="0" w:color="auto"/>
      </w:divBdr>
    </w:div>
    <w:div w:id="1147549455">
      <w:bodyDiv w:val="1"/>
      <w:marLeft w:val="0"/>
      <w:marRight w:val="0"/>
      <w:marTop w:val="0"/>
      <w:marBottom w:val="0"/>
      <w:divBdr>
        <w:top w:val="none" w:sz="0" w:space="0" w:color="auto"/>
        <w:left w:val="none" w:sz="0" w:space="0" w:color="auto"/>
        <w:bottom w:val="none" w:sz="0" w:space="0" w:color="auto"/>
        <w:right w:val="none" w:sz="0" w:space="0" w:color="auto"/>
      </w:divBdr>
    </w:div>
    <w:div w:id="1147672447">
      <w:bodyDiv w:val="1"/>
      <w:marLeft w:val="0"/>
      <w:marRight w:val="0"/>
      <w:marTop w:val="0"/>
      <w:marBottom w:val="0"/>
      <w:divBdr>
        <w:top w:val="none" w:sz="0" w:space="0" w:color="auto"/>
        <w:left w:val="none" w:sz="0" w:space="0" w:color="auto"/>
        <w:bottom w:val="none" w:sz="0" w:space="0" w:color="auto"/>
        <w:right w:val="none" w:sz="0" w:space="0" w:color="auto"/>
      </w:divBdr>
    </w:div>
    <w:div w:id="1150100663">
      <w:bodyDiv w:val="1"/>
      <w:marLeft w:val="0"/>
      <w:marRight w:val="0"/>
      <w:marTop w:val="0"/>
      <w:marBottom w:val="0"/>
      <w:divBdr>
        <w:top w:val="none" w:sz="0" w:space="0" w:color="auto"/>
        <w:left w:val="none" w:sz="0" w:space="0" w:color="auto"/>
        <w:bottom w:val="none" w:sz="0" w:space="0" w:color="auto"/>
        <w:right w:val="none" w:sz="0" w:space="0" w:color="auto"/>
      </w:divBdr>
    </w:div>
    <w:div w:id="1165979208">
      <w:bodyDiv w:val="1"/>
      <w:marLeft w:val="0"/>
      <w:marRight w:val="0"/>
      <w:marTop w:val="0"/>
      <w:marBottom w:val="0"/>
      <w:divBdr>
        <w:top w:val="none" w:sz="0" w:space="0" w:color="auto"/>
        <w:left w:val="none" w:sz="0" w:space="0" w:color="auto"/>
        <w:bottom w:val="none" w:sz="0" w:space="0" w:color="auto"/>
        <w:right w:val="none" w:sz="0" w:space="0" w:color="auto"/>
      </w:divBdr>
    </w:div>
    <w:div w:id="1173644661">
      <w:bodyDiv w:val="1"/>
      <w:marLeft w:val="0"/>
      <w:marRight w:val="0"/>
      <w:marTop w:val="0"/>
      <w:marBottom w:val="0"/>
      <w:divBdr>
        <w:top w:val="none" w:sz="0" w:space="0" w:color="auto"/>
        <w:left w:val="none" w:sz="0" w:space="0" w:color="auto"/>
        <w:bottom w:val="none" w:sz="0" w:space="0" w:color="auto"/>
        <w:right w:val="none" w:sz="0" w:space="0" w:color="auto"/>
      </w:divBdr>
    </w:div>
    <w:div w:id="1175343428">
      <w:bodyDiv w:val="1"/>
      <w:marLeft w:val="0"/>
      <w:marRight w:val="0"/>
      <w:marTop w:val="0"/>
      <w:marBottom w:val="0"/>
      <w:divBdr>
        <w:top w:val="none" w:sz="0" w:space="0" w:color="auto"/>
        <w:left w:val="none" w:sz="0" w:space="0" w:color="auto"/>
        <w:bottom w:val="none" w:sz="0" w:space="0" w:color="auto"/>
        <w:right w:val="none" w:sz="0" w:space="0" w:color="auto"/>
      </w:divBdr>
    </w:div>
    <w:div w:id="1178695895">
      <w:bodyDiv w:val="1"/>
      <w:marLeft w:val="0"/>
      <w:marRight w:val="0"/>
      <w:marTop w:val="0"/>
      <w:marBottom w:val="0"/>
      <w:divBdr>
        <w:top w:val="none" w:sz="0" w:space="0" w:color="auto"/>
        <w:left w:val="none" w:sz="0" w:space="0" w:color="auto"/>
        <w:bottom w:val="none" w:sz="0" w:space="0" w:color="auto"/>
        <w:right w:val="none" w:sz="0" w:space="0" w:color="auto"/>
      </w:divBdr>
    </w:div>
    <w:div w:id="1178731180">
      <w:bodyDiv w:val="1"/>
      <w:marLeft w:val="0"/>
      <w:marRight w:val="0"/>
      <w:marTop w:val="0"/>
      <w:marBottom w:val="0"/>
      <w:divBdr>
        <w:top w:val="none" w:sz="0" w:space="0" w:color="auto"/>
        <w:left w:val="none" w:sz="0" w:space="0" w:color="auto"/>
        <w:bottom w:val="none" w:sz="0" w:space="0" w:color="auto"/>
        <w:right w:val="none" w:sz="0" w:space="0" w:color="auto"/>
      </w:divBdr>
    </w:div>
    <w:div w:id="1179346384">
      <w:bodyDiv w:val="1"/>
      <w:marLeft w:val="0"/>
      <w:marRight w:val="0"/>
      <w:marTop w:val="0"/>
      <w:marBottom w:val="0"/>
      <w:divBdr>
        <w:top w:val="none" w:sz="0" w:space="0" w:color="auto"/>
        <w:left w:val="none" w:sz="0" w:space="0" w:color="auto"/>
        <w:bottom w:val="none" w:sz="0" w:space="0" w:color="auto"/>
        <w:right w:val="none" w:sz="0" w:space="0" w:color="auto"/>
      </w:divBdr>
    </w:div>
    <w:div w:id="1183280209">
      <w:bodyDiv w:val="1"/>
      <w:marLeft w:val="0"/>
      <w:marRight w:val="0"/>
      <w:marTop w:val="0"/>
      <w:marBottom w:val="0"/>
      <w:divBdr>
        <w:top w:val="none" w:sz="0" w:space="0" w:color="auto"/>
        <w:left w:val="none" w:sz="0" w:space="0" w:color="auto"/>
        <w:bottom w:val="none" w:sz="0" w:space="0" w:color="auto"/>
        <w:right w:val="none" w:sz="0" w:space="0" w:color="auto"/>
      </w:divBdr>
    </w:div>
    <w:div w:id="1193112536">
      <w:bodyDiv w:val="1"/>
      <w:marLeft w:val="0"/>
      <w:marRight w:val="0"/>
      <w:marTop w:val="0"/>
      <w:marBottom w:val="0"/>
      <w:divBdr>
        <w:top w:val="none" w:sz="0" w:space="0" w:color="auto"/>
        <w:left w:val="none" w:sz="0" w:space="0" w:color="auto"/>
        <w:bottom w:val="none" w:sz="0" w:space="0" w:color="auto"/>
        <w:right w:val="none" w:sz="0" w:space="0" w:color="auto"/>
      </w:divBdr>
    </w:div>
    <w:div w:id="1195580048">
      <w:bodyDiv w:val="1"/>
      <w:marLeft w:val="0"/>
      <w:marRight w:val="0"/>
      <w:marTop w:val="0"/>
      <w:marBottom w:val="0"/>
      <w:divBdr>
        <w:top w:val="none" w:sz="0" w:space="0" w:color="auto"/>
        <w:left w:val="none" w:sz="0" w:space="0" w:color="auto"/>
        <w:bottom w:val="none" w:sz="0" w:space="0" w:color="auto"/>
        <w:right w:val="none" w:sz="0" w:space="0" w:color="auto"/>
      </w:divBdr>
    </w:div>
    <w:div w:id="1197960461">
      <w:bodyDiv w:val="1"/>
      <w:marLeft w:val="0"/>
      <w:marRight w:val="0"/>
      <w:marTop w:val="0"/>
      <w:marBottom w:val="0"/>
      <w:divBdr>
        <w:top w:val="none" w:sz="0" w:space="0" w:color="auto"/>
        <w:left w:val="none" w:sz="0" w:space="0" w:color="auto"/>
        <w:bottom w:val="none" w:sz="0" w:space="0" w:color="auto"/>
        <w:right w:val="none" w:sz="0" w:space="0" w:color="auto"/>
      </w:divBdr>
    </w:div>
    <w:div w:id="1198735586">
      <w:bodyDiv w:val="1"/>
      <w:marLeft w:val="0"/>
      <w:marRight w:val="0"/>
      <w:marTop w:val="0"/>
      <w:marBottom w:val="0"/>
      <w:divBdr>
        <w:top w:val="none" w:sz="0" w:space="0" w:color="auto"/>
        <w:left w:val="none" w:sz="0" w:space="0" w:color="auto"/>
        <w:bottom w:val="none" w:sz="0" w:space="0" w:color="auto"/>
        <w:right w:val="none" w:sz="0" w:space="0" w:color="auto"/>
      </w:divBdr>
    </w:div>
    <w:div w:id="1199705538">
      <w:bodyDiv w:val="1"/>
      <w:marLeft w:val="0"/>
      <w:marRight w:val="0"/>
      <w:marTop w:val="0"/>
      <w:marBottom w:val="0"/>
      <w:divBdr>
        <w:top w:val="none" w:sz="0" w:space="0" w:color="auto"/>
        <w:left w:val="none" w:sz="0" w:space="0" w:color="auto"/>
        <w:bottom w:val="none" w:sz="0" w:space="0" w:color="auto"/>
        <w:right w:val="none" w:sz="0" w:space="0" w:color="auto"/>
      </w:divBdr>
    </w:div>
    <w:div w:id="1205213071">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15503021">
      <w:bodyDiv w:val="1"/>
      <w:marLeft w:val="0"/>
      <w:marRight w:val="0"/>
      <w:marTop w:val="0"/>
      <w:marBottom w:val="0"/>
      <w:divBdr>
        <w:top w:val="none" w:sz="0" w:space="0" w:color="auto"/>
        <w:left w:val="none" w:sz="0" w:space="0" w:color="auto"/>
        <w:bottom w:val="none" w:sz="0" w:space="0" w:color="auto"/>
        <w:right w:val="none" w:sz="0" w:space="0" w:color="auto"/>
      </w:divBdr>
    </w:div>
    <w:div w:id="1215510505">
      <w:bodyDiv w:val="1"/>
      <w:marLeft w:val="0"/>
      <w:marRight w:val="0"/>
      <w:marTop w:val="0"/>
      <w:marBottom w:val="0"/>
      <w:divBdr>
        <w:top w:val="none" w:sz="0" w:space="0" w:color="auto"/>
        <w:left w:val="none" w:sz="0" w:space="0" w:color="auto"/>
        <w:bottom w:val="none" w:sz="0" w:space="0" w:color="auto"/>
        <w:right w:val="none" w:sz="0" w:space="0" w:color="auto"/>
      </w:divBdr>
    </w:div>
    <w:div w:id="1217200774">
      <w:bodyDiv w:val="1"/>
      <w:marLeft w:val="0"/>
      <w:marRight w:val="0"/>
      <w:marTop w:val="0"/>
      <w:marBottom w:val="0"/>
      <w:divBdr>
        <w:top w:val="none" w:sz="0" w:space="0" w:color="auto"/>
        <w:left w:val="none" w:sz="0" w:space="0" w:color="auto"/>
        <w:bottom w:val="none" w:sz="0" w:space="0" w:color="auto"/>
        <w:right w:val="none" w:sz="0" w:space="0" w:color="auto"/>
      </w:divBdr>
    </w:div>
    <w:div w:id="1223714825">
      <w:bodyDiv w:val="1"/>
      <w:marLeft w:val="0"/>
      <w:marRight w:val="0"/>
      <w:marTop w:val="0"/>
      <w:marBottom w:val="0"/>
      <w:divBdr>
        <w:top w:val="none" w:sz="0" w:space="0" w:color="auto"/>
        <w:left w:val="none" w:sz="0" w:space="0" w:color="auto"/>
        <w:bottom w:val="none" w:sz="0" w:space="0" w:color="auto"/>
        <w:right w:val="none" w:sz="0" w:space="0" w:color="auto"/>
      </w:divBdr>
    </w:div>
    <w:div w:id="1225212746">
      <w:bodyDiv w:val="1"/>
      <w:marLeft w:val="0"/>
      <w:marRight w:val="0"/>
      <w:marTop w:val="0"/>
      <w:marBottom w:val="0"/>
      <w:divBdr>
        <w:top w:val="none" w:sz="0" w:space="0" w:color="auto"/>
        <w:left w:val="none" w:sz="0" w:space="0" w:color="auto"/>
        <w:bottom w:val="none" w:sz="0" w:space="0" w:color="auto"/>
        <w:right w:val="none" w:sz="0" w:space="0" w:color="auto"/>
      </w:divBdr>
    </w:div>
    <w:div w:id="1229656545">
      <w:bodyDiv w:val="1"/>
      <w:marLeft w:val="0"/>
      <w:marRight w:val="0"/>
      <w:marTop w:val="0"/>
      <w:marBottom w:val="0"/>
      <w:divBdr>
        <w:top w:val="none" w:sz="0" w:space="0" w:color="auto"/>
        <w:left w:val="none" w:sz="0" w:space="0" w:color="auto"/>
        <w:bottom w:val="none" w:sz="0" w:space="0" w:color="auto"/>
        <w:right w:val="none" w:sz="0" w:space="0" w:color="auto"/>
      </w:divBdr>
    </w:div>
    <w:div w:id="1230572838">
      <w:bodyDiv w:val="1"/>
      <w:marLeft w:val="0"/>
      <w:marRight w:val="0"/>
      <w:marTop w:val="0"/>
      <w:marBottom w:val="0"/>
      <w:divBdr>
        <w:top w:val="none" w:sz="0" w:space="0" w:color="auto"/>
        <w:left w:val="none" w:sz="0" w:space="0" w:color="auto"/>
        <w:bottom w:val="none" w:sz="0" w:space="0" w:color="auto"/>
        <w:right w:val="none" w:sz="0" w:space="0" w:color="auto"/>
      </w:divBdr>
    </w:div>
    <w:div w:id="1236168581">
      <w:bodyDiv w:val="1"/>
      <w:marLeft w:val="0"/>
      <w:marRight w:val="0"/>
      <w:marTop w:val="0"/>
      <w:marBottom w:val="0"/>
      <w:divBdr>
        <w:top w:val="none" w:sz="0" w:space="0" w:color="auto"/>
        <w:left w:val="none" w:sz="0" w:space="0" w:color="auto"/>
        <w:bottom w:val="none" w:sz="0" w:space="0" w:color="auto"/>
        <w:right w:val="none" w:sz="0" w:space="0" w:color="auto"/>
      </w:divBdr>
    </w:div>
    <w:div w:id="1242251423">
      <w:bodyDiv w:val="1"/>
      <w:marLeft w:val="0"/>
      <w:marRight w:val="0"/>
      <w:marTop w:val="0"/>
      <w:marBottom w:val="0"/>
      <w:divBdr>
        <w:top w:val="none" w:sz="0" w:space="0" w:color="auto"/>
        <w:left w:val="none" w:sz="0" w:space="0" w:color="auto"/>
        <w:bottom w:val="none" w:sz="0" w:space="0" w:color="auto"/>
        <w:right w:val="none" w:sz="0" w:space="0" w:color="auto"/>
      </w:divBdr>
    </w:div>
    <w:div w:id="1247374322">
      <w:bodyDiv w:val="1"/>
      <w:marLeft w:val="0"/>
      <w:marRight w:val="0"/>
      <w:marTop w:val="0"/>
      <w:marBottom w:val="0"/>
      <w:divBdr>
        <w:top w:val="none" w:sz="0" w:space="0" w:color="auto"/>
        <w:left w:val="none" w:sz="0" w:space="0" w:color="auto"/>
        <w:bottom w:val="none" w:sz="0" w:space="0" w:color="auto"/>
        <w:right w:val="none" w:sz="0" w:space="0" w:color="auto"/>
      </w:divBdr>
    </w:div>
    <w:div w:id="1248881771">
      <w:bodyDiv w:val="1"/>
      <w:marLeft w:val="0"/>
      <w:marRight w:val="0"/>
      <w:marTop w:val="0"/>
      <w:marBottom w:val="0"/>
      <w:divBdr>
        <w:top w:val="none" w:sz="0" w:space="0" w:color="auto"/>
        <w:left w:val="none" w:sz="0" w:space="0" w:color="auto"/>
        <w:bottom w:val="none" w:sz="0" w:space="0" w:color="auto"/>
        <w:right w:val="none" w:sz="0" w:space="0" w:color="auto"/>
      </w:divBdr>
    </w:div>
    <w:div w:id="1250433726">
      <w:bodyDiv w:val="1"/>
      <w:marLeft w:val="0"/>
      <w:marRight w:val="0"/>
      <w:marTop w:val="0"/>
      <w:marBottom w:val="0"/>
      <w:divBdr>
        <w:top w:val="none" w:sz="0" w:space="0" w:color="auto"/>
        <w:left w:val="none" w:sz="0" w:space="0" w:color="auto"/>
        <w:bottom w:val="none" w:sz="0" w:space="0" w:color="auto"/>
        <w:right w:val="none" w:sz="0" w:space="0" w:color="auto"/>
      </w:divBdr>
    </w:div>
    <w:div w:id="1258250909">
      <w:bodyDiv w:val="1"/>
      <w:marLeft w:val="0"/>
      <w:marRight w:val="0"/>
      <w:marTop w:val="0"/>
      <w:marBottom w:val="0"/>
      <w:divBdr>
        <w:top w:val="none" w:sz="0" w:space="0" w:color="auto"/>
        <w:left w:val="none" w:sz="0" w:space="0" w:color="auto"/>
        <w:bottom w:val="none" w:sz="0" w:space="0" w:color="auto"/>
        <w:right w:val="none" w:sz="0" w:space="0" w:color="auto"/>
      </w:divBdr>
    </w:div>
    <w:div w:id="1266882419">
      <w:bodyDiv w:val="1"/>
      <w:marLeft w:val="0"/>
      <w:marRight w:val="0"/>
      <w:marTop w:val="0"/>
      <w:marBottom w:val="0"/>
      <w:divBdr>
        <w:top w:val="none" w:sz="0" w:space="0" w:color="auto"/>
        <w:left w:val="none" w:sz="0" w:space="0" w:color="auto"/>
        <w:bottom w:val="none" w:sz="0" w:space="0" w:color="auto"/>
        <w:right w:val="none" w:sz="0" w:space="0" w:color="auto"/>
      </w:divBdr>
    </w:div>
    <w:div w:id="1271939696">
      <w:bodyDiv w:val="1"/>
      <w:marLeft w:val="0"/>
      <w:marRight w:val="0"/>
      <w:marTop w:val="0"/>
      <w:marBottom w:val="0"/>
      <w:divBdr>
        <w:top w:val="none" w:sz="0" w:space="0" w:color="auto"/>
        <w:left w:val="none" w:sz="0" w:space="0" w:color="auto"/>
        <w:bottom w:val="none" w:sz="0" w:space="0" w:color="auto"/>
        <w:right w:val="none" w:sz="0" w:space="0" w:color="auto"/>
      </w:divBdr>
    </w:div>
    <w:div w:id="1274169575">
      <w:bodyDiv w:val="1"/>
      <w:marLeft w:val="0"/>
      <w:marRight w:val="0"/>
      <w:marTop w:val="0"/>
      <w:marBottom w:val="0"/>
      <w:divBdr>
        <w:top w:val="none" w:sz="0" w:space="0" w:color="auto"/>
        <w:left w:val="none" w:sz="0" w:space="0" w:color="auto"/>
        <w:bottom w:val="none" w:sz="0" w:space="0" w:color="auto"/>
        <w:right w:val="none" w:sz="0" w:space="0" w:color="auto"/>
      </w:divBdr>
    </w:div>
    <w:div w:id="1279221272">
      <w:bodyDiv w:val="1"/>
      <w:marLeft w:val="0"/>
      <w:marRight w:val="0"/>
      <w:marTop w:val="0"/>
      <w:marBottom w:val="0"/>
      <w:divBdr>
        <w:top w:val="none" w:sz="0" w:space="0" w:color="auto"/>
        <w:left w:val="none" w:sz="0" w:space="0" w:color="auto"/>
        <w:bottom w:val="none" w:sz="0" w:space="0" w:color="auto"/>
        <w:right w:val="none" w:sz="0" w:space="0" w:color="auto"/>
      </w:divBdr>
    </w:div>
    <w:div w:id="1284072000">
      <w:bodyDiv w:val="1"/>
      <w:marLeft w:val="0"/>
      <w:marRight w:val="0"/>
      <w:marTop w:val="0"/>
      <w:marBottom w:val="0"/>
      <w:divBdr>
        <w:top w:val="none" w:sz="0" w:space="0" w:color="auto"/>
        <w:left w:val="none" w:sz="0" w:space="0" w:color="auto"/>
        <w:bottom w:val="none" w:sz="0" w:space="0" w:color="auto"/>
        <w:right w:val="none" w:sz="0" w:space="0" w:color="auto"/>
      </w:divBdr>
    </w:div>
    <w:div w:id="1285962555">
      <w:bodyDiv w:val="1"/>
      <w:marLeft w:val="0"/>
      <w:marRight w:val="0"/>
      <w:marTop w:val="0"/>
      <w:marBottom w:val="0"/>
      <w:divBdr>
        <w:top w:val="none" w:sz="0" w:space="0" w:color="auto"/>
        <w:left w:val="none" w:sz="0" w:space="0" w:color="auto"/>
        <w:bottom w:val="none" w:sz="0" w:space="0" w:color="auto"/>
        <w:right w:val="none" w:sz="0" w:space="0" w:color="auto"/>
      </w:divBdr>
    </w:div>
    <w:div w:id="1286350705">
      <w:bodyDiv w:val="1"/>
      <w:marLeft w:val="0"/>
      <w:marRight w:val="0"/>
      <w:marTop w:val="0"/>
      <w:marBottom w:val="0"/>
      <w:divBdr>
        <w:top w:val="none" w:sz="0" w:space="0" w:color="auto"/>
        <w:left w:val="none" w:sz="0" w:space="0" w:color="auto"/>
        <w:bottom w:val="none" w:sz="0" w:space="0" w:color="auto"/>
        <w:right w:val="none" w:sz="0" w:space="0" w:color="auto"/>
      </w:divBdr>
    </w:div>
    <w:div w:id="1287084010">
      <w:bodyDiv w:val="1"/>
      <w:marLeft w:val="0"/>
      <w:marRight w:val="0"/>
      <w:marTop w:val="0"/>
      <w:marBottom w:val="0"/>
      <w:divBdr>
        <w:top w:val="none" w:sz="0" w:space="0" w:color="auto"/>
        <w:left w:val="none" w:sz="0" w:space="0" w:color="auto"/>
        <w:bottom w:val="none" w:sz="0" w:space="0" w:color="auto"/>
        <w:right w:val="none" w:sz="0" w:space="0" w:color="auto"/>
      </w:divBdr>
    </w:div>
    <w:div w:id="1288782005">
      <w:bodyDiv w:val="1"/>
      <w:marLeft w:val="0"/>
      <w:marRight w:val="0"/>
      <w:marTop w:val="0"/>
      <w:marBottom w:val="0"/>
      <w:divBdr>
        <w:top w:val="none" w:sz="0" w:space="0" w:color="auto"/>
        <w:left w:val="none" w:sz="0" w:space="0" w:color="auto"/>
        <w:bottom w:val="none" w:sz="0" w:space="0" w:color="auto"/>
        <w:right w:val="none" w:sz="0" w:space="0" w:color="auto"/>
      </w:divBdr>
    </w:div>
    <w:div w:id="1289512632">
      <w:bodyDiv w:val="1"/>
      <w:marLeft w:val="0"/>
      <w:marRight w:val="0"/>
      <w:marTop w:val="0"/>
      <w:marBottom w:val="0"/>
      <w:divBdr>
        <w:top w:val="none" w:sz="0" w:space="0" w:color="auto"/>
        <w:left w:val="none" w:sz="0" w:space="0" w:color="auto"/>
        <w:bottom w:val="none" w:sz="0" w:space="0" w:color="auto"/>
        <w:right w:val="none" w:sz="0" w:space="0" w:color="auto"/>
      </w:divBdr>
    </w:div>
    <w:div w:id="1289821914">
      <w:bodyDiv w:val="1"/>
      <w:marLeft w:val="0"/>
      <w:marRight w:val="0"/>
      <w:marTop w:val="0"/>
      <w:marBottom w:val="0"/>
      <w:divBdr>
        <w:top w:val="none" w:sz="0" w:space="0" w:color="auto"/>
        <w:left w:val="none" w:sz="0" w:space="0" w:color="auto"/>
        <w:bottom w:val="none" w:sz="0" w:space="0" w:color="auto"/>
        <w:right w:val="none" w:sz="0" w:space="0" w:color="auto"/>
      </w:divBdr>
    </w:div>
    <w:div w:id="1297486117">
      <w:bodyDiv w:val="1"/>
      <w:marLeft w:val="0"/>
      <w:marRight w:val="0"/>
      <w:marTop w:val="0"/>
      <w:marBottom w:val="0"/>
      <w:divBdr>
        <w:top w:val="none" w:sz="0" w:space="0" w:color="auto"/>
        <w:left w:val="none" w:sz="0" w:space="0" w:color="auto"/>
        <w:bottom w:val="none" w:sz="0" w:space="0" w:color="auto"/>
        <w:right w:val="none" w:sz="0" w:space="0" w:color="auto"/>
      </w:divBdr>
    </w:div>
    <w:div w:id="1301038091">
      <w:bodyDiv w:val="1"/>
      <w:marLeft w:val="0"/>
      <w:marRight w:val="0"/>
      <w:marTop w:val="0"/>
      <w:marBottom w:val="0"/>
      <w:divBdr>
        <w:top w:val="none" w:sz="0" w:space="0" w:color="auto"/>
        <w:left w:val="none" w:sz="0" w:space="0" w:color="auto"/>
        <w:bottom w:val="none" w:sz="0" w:space="0" w:color="auto"/>
        <w:right w:val="none" w:sz="0" w:space="0" w:color="auto"/>
      </w:divBdr>
    </w:div>
    <w:div w:id="1301573822">
      <w:bodyDiv w:val="1"/>
      <w:marLeft w:val="0"/>
      <w:marRight w:val="0"/>
      <w:marTop w:val="0"/>
      <w:marBottom w:val="0"/>
      <w:divBdr>
        <w:top w:val="none" w:sz="0" w:space="0" w:color="auto"/>
        <w:left w:val="none" w:sz="0" w:space="0" w:color="auto"/>
        <w:bottom w:val="none" w:sz="0" w:space="0" w:color="auto"/>
        <w:right w:val="none" w:sz="0" w:space="0" w:color="auto"/>
      </w:divBdr>
    </w:div>
    <w:div w:id="1301812497">
      <w:bodyDiv w:val="1"/>
      <w:marLeft w:val="0"/>
      <w:marRight w:val="0"/>
      <w:marTop w:val="0"/>
      <w:marBottom w:val="0"/>
      <w:divBdr>
        <w:top w:val="none" w:sz="0" w:space="0" w:color="auto"/>
        <w:left w:val="none" w:sz="0" w:space="0" w:color="auto"/>
        <w:bottom w:val="none" w:sz="0" w:space="0" w:color="auto"/>
        <w:right w:val="none" w:sz="0" w:space="0" w:color="auto"/>
      </w:divBdr>
    </w:div>
    <w:div w:id="1302226263">
      <w:bodyDiv w:val="1"/>
      <w:marLeft w:val="0"/>
      <w:marRight w:val="0"/>
      <w:marTop w:val="0"/>
      <w:marBottom w:val="0"/>
      <w:divBdr>
        <w:top w:val="none" w:sz="0" w:space="0" w:color="auto"/>
        <w:left w:val="none" w:sz="0" w:space="0" w:color="auto"/>
        <w:bottom w:val="none" w:sz="0" w:space="0" w:color="auto"/>
        <w:right w:val="none" w:sz="0" w:space="0" w:color="auto"/>
      </w:divBdr>
    </w:div>
    <w:div w:id="1303120181">
      <w:bodyDiv w:val="1"/>
      <w:marLeft w:val="0"/>
      <w:marRight w:val="0"/>
      <w:marTop w:val="0"/>
      <w:marBottom w:val="0"/>
      <w:divBdr>
        <w:top w:val="none" w:sz="0" w:space="0" w:color="auto"/>
        <w:left w:val="none" w:sz="0" w:space="0" w:color="auto"/>
        <w:bottom w:val="none" w:sz="0" w:space="0" w:color="auto"/>
        <w:right w:val="none" w:sz="0" w:space="0" w:color="auto"/>
      </w:divBdr>
    </w:div>
    <w:div w:id="1306667750">
      <w:bodyDiv w:val="1"/>
      <w:marLeft w:val="0"/>
      <w:marRight w:val="0"/>
      <w:marTop w:val="0"/>
      <w:marBottom w:val="0"/>
      <w:divBdr>
        <w:top w:val="none" w:sz="0" w:space="0" w:color="auto"/>
        <w:left w:val="none" w:sz="0" w:space="0" w:color="auto"/>
        <w:bottom w:val="none" w:sz="0" w:space="0" w:color="auto"/>
        <w:right w:val="none" w:sz="0" w:space="0" w:color="auto"/>
      </w:divBdr>
    </w:div>
    <w:div w:id="1308318069">
      <w:bodyDiv w:val="1"/>
      <w:marLeft w:val="0"/>
      <w:marRight w:val="0"/>
      <w:marTop w:val="0"/>
      <w:marBottom w:val="0"/>
      <w:divBdr>
        <w:top w:val="none" w:sz="0" w:space="0" w:color="auto"/>
        <w:left w:val="none" w:sz="0" w:space="0" w:color="auto"/>
        <w:bottom w:val="none" w:sz="0" w:space="0" w:color="auto"/>
        <w:right w:val="none" w:sz="0" w:space="0" w:color="auto"/>
      </w:divBdr>
    </w:div>
    <w:div w:id="1309171941">
      <w:bodyDiv w:val="1"/>
      <w:marLeft w:val="0"/>
      <w:marRight w:val="0"/>
      <w:marTop w:val="0"/>
      <w:marBottom w:val="0"/>
      <w:divBdr>
        <w:top w:val="none" w:sz="0" w:space="0" w:color="auto"/>
        <w:left w:val="none" w:sz="0" w:space="0" w:color="auto"/>
        <w:bottom w:val="none" w:sz="0" w:space="0" w:color="auto"/>
        <w:right w:val="none" w:sz="0" w:space="0" w:color="auto"/>
      </w:divBdr>
    </w:div>
    <w:div w:id="1313832356">
      <w:bodyDiv w:val="1"/>
      <w:marLeft w:val="0"/>
      <w:marRight w:val="0"/>
      <w:marTop w:val="0"/>
      <w:marBottom w:val="0"/>
      <w:divBdr>
        <w:top w:val="none" w:sz="0" w:space="0" w:color="auto"/>
        <w:left w:val="none" w:sz="0" w:space="0" w:color="auto"/>
        <w:bottom w:val="none" w:sz="0" w:space="0" w:color="auto"/>
        <w:right w:val="none" w:sz="0" w:space="0" w:color="auto"/>
      </w:divBdr>
    </w:div>
    <w:div w:id="1315528613">
      <w:bodyDiv w:val="1"/>
      <w:marLeft w:val="0"/>
      <w:marRight w:val="0"/>
      <w:marTop w:val="0"/>
      <w:marBottom w:val="0"/>
      <w:divBdr>
        <w:top w:val="none" w:sz="0" w:space="0" w:color="auto"/>
        <w:left w:val="none" w:sz="0" w:space="0" w:color="auto"/>
        <w:bottom w:val="none" w:sz="0" w:space="0" w:color="auto"/>
        <w:right w:val="none" w:sz="0" w:space="0" w:color="auto"/>
      </w:divBdr>
    </w:div>
    <w:div w:id="1319650924">
      <w:bodyDiv w:val="1"/>
      <w:marLeft w:val="0"/>
      <w:marRight w:val="0"/>
      <w:marTop w:val="0"/>
      <w:marBottom w:val="0"/>
      <w:divBdr>
        <w:top w:val="none" w:sz="0" w:space="0" w:color="auto"/>
        <w:left w:val="none" w:sz="0" w:space="0" w:color="auto"/>
        <w:bottom w:val="none" w:sz="0" w:space="0" w:color="auto"/>
        <w:right w:val="none" w:sz="0" w:space="0" w:color="auto"/>
      </w:divBdr>
    </w:div>
    <w:div w:id="1323968580">
      <w:bodyDiv w:val="1"/>
      <w:marLeft w:val="0"/>
      <w:marRight w:val="0"/>
      <w:marTop w:val="0"/>
      <w:marBottom w:val="0"/>
      <w:divBdr>
        <w:top w:val="none" w:sz="0" w:space="0" w:color="auto"/>
        <w:left w:val="none" w:sz="0" w:space="0" w:color="auto"/>
        <w:bottom w:val="none" w:sz="0" w:space="0" w:color="auto"/>
        <w:right w:val="none" w:sz="0" w:space="0" w:color="auto"/>
      </w:divBdr>
    </w:div>
    <w:div w:id="1324118543">
      <w:bodyDiv w:val="1"/>
      <w:marLeft w:val="0"/>
      <w:marRight w:val="0"/>
      <w:marTop w:val="0"/>
      <w:marBottom w:val="0"/>
      <w:divBdr>
        <w:top w:val="none" w:sz="0" w:space="0" w:color="auto"/>
        <w:left w:val="none" w:sz="0" w:space="0" w:color="auto"/>
        <w:bottom w:val="none" w:sz="0" w:space="0" w:color="auto"/>
        <w:right w:val="none" w:sz="0" w:space="0" w:color="auto"/>
      </w:divBdr>
    </w:div>
    <w:div w:id="1326127206">
      <w:bodyDiv w:val="1"/>
      <w:marLeft w:val="0"/>
      <w:marRight w:val="0"/>
      <w:marTop w:val="0"/>
      <w:marBottom w:val="0"/>
      <w:divBdr>
        <w:top w:val="none" w:sz="0" w:space="0" w:color="auto"/>
        <w:left w:val="none" w:sz="0" w:space="0" w:color="auto"/>
        <w:bottom w:val="none" w:sz="0" w:space="0" w:color="auto"/>
        <w:right w:val="none" w:sz="0" w:space="0" w:color="auto"/>
      </w:divBdr>
    </w:div>
    <w:div w:id="1333219681">
      <w:bodyDiv w:val="1"/>
      <w:marLeft w:val="0"/>
      <w:marRight w:val="0"/>
      <w:marTop w:val="0"/>
      <w:marBottom w:val="0"/>
      <w:divBdr>
        <w:top w:val="none" w:sz="0" w:space="0" w:color="auto"/>
        <w:left w:val="none" w:sz="0" w:space="0" w:color="auto"/>
        <w:bottom w:val="none" w:sz="0" w:space="0" w:color="auto"/>
        <w:right w:val="none" w:sz="0" w:space="0" w:color="auto"/>
      </w:divBdr>
    </w:div>
    <w:div w:id="1337345719">
      <w:bodyDiv w:val="1"/>
      <w:marLeft w:val="0"/>
      <w:marRight w:val="0"/>
      <w:marTop w:val="0"/>
      <w:marBottom w:val="0"/>
      <w:divBdr>
        <w:top w:val="none" w:sz="0" w:space="0" w:color="auto"/>
        <w:left w:val="none" w:sz="0" w:space="0" w:color="auto"/>
        <w:bottom w:val="none" w:sz="0" w:space="0" w:color="auto"/>
        <w:right w:val="none" w:sz="0" w:space="0" w:color="auto"/>
      </w:divBdr>
    </w:div>
    <w:div w:id="1339501897">
      <w:bodyDiv w:val="1"/>
      <w:marLeft w:val="0"/>
      <w:marRight w:val="0"/>
      <w:marTop w:val="0"/>
      <w:marBottom w:val="0"/>
      <w:divBdr>
        <w:top w:val="none" w:sz="0" w:space="0" w:color="auto"/>
        <w:left w:val="none" w:sz="0" w:space="0" w:color="auto"/>
        <w:bottom w:val="none" w:sz="0" w:space="0" w:color="auto"/>
        <w:right w:val="none" w:sz="0" w:space="0" w:color="auto"/>
      </w:divBdr>
    </w:div>
    <w:div w:id="1340160583">
      <w:bodyDiv w:val="1"/>
      <w:marLeft w:val="0"/>
      <w:marRight w:val="0"/>
      <w:marTop w:val="0"/>
      <w:marBottom w:val="0"/>
      <w:divBdr>
        <w:top w:val="none" w:sz="0" w:space="0" w:color="auto"/>
        <w:left w:val="none" w:sz="0" w:space="0" w:color="auto"/>
        <w:bottom w:val="none" w:sz="0" w:space="0" w:color="auto"/>
        <w:right w:val="none" w:sz="0" w:space="0" w:color="auto"/>
      </w:divBdr>
    </w:div>
    <w:div w:id="1350334373">
      <w:bodyDiv w:val="1"/>
      <w:marLeft w:val="0"/>
      <w:marRight w:val="0"/>
      <w:marTop w:val="0"/>
      <w:marBottom w:val="0"/>
      <w:divBdr>
        <w:top w:val="none" w:sz="0" w:space="0" w:color="auto"/>
        <w:left w:val="none" w:sz="0" w:space="0" w:color="auto"/>
        <w:bottom w:val="none" w:sz="0" w:space="0" w:color="auto"/>
        <w:right w:val="none" w:sz="0" w:space="0" w:color="auto"/>
      </w:divBdr>
    </w:div>
    <w:div w:id="1352416557">
      <w:bodyDiv w:val="1"/>
      <w:marLeft w:val="0"/>
      <w:marRight w:val="0"/>
      <w:marTop w:val="0"/>
      <w:marBottom w:val="0"/>
      <w:divBdr>
        <w:top w:val="none" w:sz="0" w:space="0" w:color="auto"/>
        <w:left w:val="none" w:sz="0" w:space="0" w:color="auto"/>
        <w:bottom w:val="none" w:sz="0" w:space="0" w:color="auto"/>
        <w:right w:val="none" w:sz="0" w:space="0" w:color="auto"/>
      </w:divBdr>
    </w:div>
    <w:div w:id="1352683737">
      <w:bodyDiv w:val="1"/>
      <w:marLeft w:val="0"/>
      <w:marRight w:val="0"/>
      <w:marTop w:val="0"/>
      <w:marBottom w:val="0"/>
      <w:divBdr>
        <w:top w:val="none" w:sz="0" w:space="0" w:color="auto"/>
        <w:left w:val="none" w:sz="0" w:space="0" w:color="auto"/>
        <w:bottom w:val="none" w:sz="0" w:space="0" w:color="auto"/>
        <w:right w:val="none" w:sz="0" w:space="0" w:color="auto"/>
      </w:divBdr>
    </w:div>
    <w:div w:id="1355231602">
      <w:bodyDiv w:val="1"/>
      <w:marLeft w:val="0"/>
      <w:marRight w:val="0"/>
      <w:marTop w:val="0"/>
      <w:marBottom w:val="0"/>
      <w:divBdr>
        <w:top w:val="none" w:sz="0" w:space="0" w:color="auto"/>
        <w:left w:val="none" w:sz="0" w:space="0" w:color="auto"/>
        <w:bottom w:val="none" w:sz="0" w:space="0" w:color="auto"/>
        <w:right w:val="none" w:sz="0" w:space="0" w:color="auto"/>
      </w:divBdr>
    </w:div>
    <w:div w:id="1360858850">
      <w:bodyDiv w:val="1"/>
      <w:marLeft w:val="0"/>
      <w:marRight w:val="0"/>
      <w:marTop w:val="0"/>
      <w:marBottom w:val="0"/>
      <w:divBdr>
        <w:top w:val="none" w:sz="0" w:space="0" w:color="auto"/>
        <w:left w:val="none" w:sz="0" w:space="0" w:color="auto"/>
        <w:bottom w:val="none" w:sz="0" w:space="0" w:color="auto"/>
        <w:right w:val="none" w:sz="0" w:space="0" w:color="auto"/>
      </w:divBdr>
    </w:div>
    <w:div w:id="1361316924">
      <w:bodyDiv w:val="1"/>
      <w:marLeft w:val="0"/>
      <w:marRight w:val="0"/>
      <w:marTop w:val="0"/>
      <w:marBottom w:val="0"/>
      <w:divBdr>
        <w:top w:val="none" w:sz="0" w:space="0" w:color="auto"/>
        <w:left w:val="none" w:sz="0" w:space="0" w:color="auto"/>
        <w:bottom w:val="none" w:sz="0" w:space="0" w:color="auto"/>
        <w:right w:val="none" w:sz="0" w:space="0" w:color="auto"/>
      </w:divBdr>
    </w:div>
    <w:div w:id="1363281811">
      <w:bodyDiv w:val="1"/>
      <w:marLeft w:val="0"/>
      <w:marRight w:val="0"/>
      <w:marTop w:val="0"/>
      <w:marBottom w:val="0"/>
      <w:divBdr>
        <w:top w:val="none" w:sz="0" w:space="0" w:color="auto"/>
        <w:left w:val="none" w:sz="0" w:space="0" w:color="auto"/>
        <w:bottom w:val="none" w:sz="0" w:space="0" w:color="auto"/>
        <w:right w:val="none" w:sz="0" w:space="0" w:color="auto"/>
      </w:divBdr>
    </w:div>
    <w:div w:id="1363477417">
      <w:bodyDiv w:val="1"/>
      <w:marLeft w:val="0"/>
      <w:marRight w:val="0"/>
      <w:marTop w:val="0"/>
      <w:marBottom w:val="0"/>
      <w:divBdr>
        <w:top w:val="none" w:sz="0" w:space="0" w:color="auto"/>
        <w:left w:val="none" w:sz="0" w:space="0" w:color="auto"/>
        <w:bottom w:val="none" w:sz="0" w:space="0" w:color="auto"/>
        <w:right w:val="none" w:sz="0" w:space="0" w:color="auto"/>
      </w:divBdr>
    </w:div>
    <w:div w:id="1368410942">
      <w:bodyDiv w:val="1"/>
      <w:marLeft w:val="0"/>
      <w:marRight w:val="0"/>
      <w:marTop w:val="0"/>
      <w:marBottom w:val="0"/>
      <w:divBdr>
        <w:top w:val="none" w:sz="0" w:space="0" w:color="auto"/>
        <w:left w:val="none" w:sz="0" w:space="0" w:color="auto"/>
        <w:bottom w:val="none" w:sz="0" w:space="0" w:color="auto"/>
        <w:right w:val="none" w:sz="0" w:space="0" w:color="auto"/>
      </w:divBdr>
    </w:div>
    <w:div w:id="1373112051">
      <w:bodyDiv w:val="1"/>
      <w:marLeft w:val="0"/>
      <w:marRight w:val="0"/>
      <w:marTop w:val="0"/>
      <w:marBottom w:val="0"/>
      <w:divBdr>
        <w:top w:val="none" w:sz="0" w:space="0" w:color="auto"/>
        <w:left w:val="none" w:sz="0" w:space="0" w:color="auto"/>
        <w:bottom w:val="none" w:sz="0" w:space="0" w:color="auto"/>
        <w:right w:val="none" w:sz="0" w:space="0" w:color="auto"/>
      </w:divBdr>
    </w:div>
    <w:div w:id="1374883516">
      <w:bodyDiv w:val="1"/>
      <w:marLeft w:val="0"/>
      <w:marRight w:val="0"/>
      <w:marTop w:val="0"/>
      <w:marBottom w:val="0"/>
      <w:divBdr>
        <w:top w:val="none" w:sz="0" w:space="0" w:color="auto"/>
        <w:left w:val="none" w:sz="0" w:space="0" w:color="auto"/>
        <w:bottom w:val="none" w:sz="0" w:space="0" w:color="auto"/>
        <w:right w:val="none" w:sz="0" w:space="0" w:color="auto"/>
      </w:divBdr>
    </w:div>
    <w:div w:id="1376857912">
      <w:bodyDiv w:val="1"/>
      <w:marLeft w:val="0"/>
      <w:marRight w:val="0"/>
      <w:marTop w:val="0"/>
      <w:marBottom w:val="0"/>
      <w:divBdr>
        <w:top w:val="none" w:sz="0" w:space="0" w:color="auto"/>
        <w:left w:val="none" w:sz="0" w:space="0" w:color="auto"/>
        <w:bottom w:val="none" w:sz="0" w:space="0" w:color="auto"/>
        <w:right w:val="none" w:sz="0" w:space="0" w:color="auto"/>
      </w:divBdr>
    </w:div>
    <w:div w:id="1377580116">
      <w:bodyDiv w:val="1"/>
      <w:marLeft w:val="0"/>
      <w:marRight w:val="0"/>
      <w:marTop w:val="0"/>
      <w:marBottom w:val="0"/>
      <w:divBdr>
        <w:top w:val="none" w:sz="0" w:space="0" w:color="auto"/>
        <w:left w:val="none" w:sz="0" w:space="0" w:color="auto"/>
        <w:bottom w:val="none" w:sz="0" w:space="0" w:color="auto"/>
        <w:right w:val="none" w:sz="0" w:space="0" w:color="auto"/>
      </w:divBdr>
    </w:div>
    <w:div w:id="1378317230">
      <w:bodyDiv w:val="1"/>
      <w:marLeft w:val="0"/>
      <w:marRight w:val="0"/>
      <w:marTop w:val="0"/>
      <w:marBottom w:val="0"/>
      <w:divBdr>
        <w:top w:val="none" w:sz="0" w:space="0" w:color="auto"/>
        <w:left w:val="none" w:sz="0" w:space="0" w:color="auto"/>
        <w:bottom w:val="none" w:sz="0" w:space="0" w:color="auto"/>
        <w:right w:val="none" w:sz="0" w:space="0" w:color="auto"/>
      </w:divBdr>
    </w:div>
    <w:div w:id="1379161030">
      <w:bodyDiv w:val="1"/>
      <w:marLeft w:val="0"/>
      <w:marRight w:val="0"/>
      <w:marTop w:val="0"/>
      <w:marBottom w:val="0"/>
      <w:divBdr>
        <w:top w:val="none" w:sz="0" w:space="0" w:color="auto"/>
        <w:left w:val="none" w:sz="0" w:space="0" w:color="auto"/>
        <w:bottom w:val="none" w:sz="0" w:space="0" w:color="auto"/>
        <w:right w:val="none" w:sz="0" w:space="0" w:color="auto"/>
      </w:divBdr>
    </w:div>
    <w:div w:id="1379742463">
      <w:bodyDiv w:val="1"/>
      <w:marLeft w:val="0"/>
      <w:marRight w:val="0"/>
      <w:marTop w:val="0"/>
      <w:marBottom w:val="0"/>
      <w:divBdr>
        <w:top w:val="none" w:sz="0" w:space="0" w:color="auto"/>
        <w:left w:val="none" w:sz="0" w:space="0" w:color="auto"/>
        <w:bottom w:val="none" w:sz="0" w:space="0" w:color="auto"/>
        <w:right w:val="none" w:sz="0" w:space="0" w:color="auto"/>
      </w:divBdr>
    </w:div>
    <w:div w:id="1388839636">
      <w:bodyDiv w:val="1"/>
      <w:marLeft w:val="0"/>
      <w:marRight w:val="0"/>
      <w:marTop w:val="0"/>
      <w:marBottom w:val="0"/>
      <w:divBdr>
        <w:top w:val="none" w:sz="0" w:space="0" w:color="auto"/>
        <w:left w:val="none" w:sz="0" w:space="0" w:color="auto"/>
        <w:bottom w:val="none" w:sz="0" w:space="0" w:color="auto"/>
        <w:right w:val="none" w:sz="0" w:space="0" w:color="auto"/>
      </w:divBdr>
    </w:div>
    <w:div w:id="1397238519">
      <w:bodyDiv w:val="1"/>
      <w:marLeft w:val="0"/>
      <w:marRight w:val="0"/>
      <w:marTop w:val="0"/>
      <w:marBottom w:val="0"/>
      <w:divBdr>
        <w:top w:val="none" w:sz="0" w:space="0" w:color="auto"/>
        <w:left w:val="none" w:sz="0" w:space="0" w:color="auto"/>
        <w:bottom w:val="none" w:sz="0" w:space="0" w:color="auto"/>
        <w:right w:val="none" w:sz="0" w:space="0" w:color="auto"/>
      </w:divBdr>
    </w:div>
    <w:div w:id="1400641106">
      <w:bodyDiv w:val="1"/>
      <w:marLeft w:val="0"/>
      <w:marRight w:val="0"/>
      <w:marTop w:val="0"/>
      <w:marBottom w:val="0"/>
      <w:divBdr>
        <w:top w:val="none" w:sz="0" w:space="0" w:color="auto"/>
        <w:left w:val="none" w:sz="0" w:space="0" w:color="auto"/>
        <w:bottom w:val="none" w:sz="0" w:space="0" w:color="auto"/>
        <w:right w:val="none" w:sz="0" w:space="0" w:color="auto"/>
      </w:divBdr>
    </w:div>
    <w:div w:id="1402099901">
      <w:bodyDiv w:val="1"/>
      <w:marLeft w:val="0"/>
      <w:marRight w:val="0"/>
      <w:marTop w:val="0"/>
      <w:marBottom w:val="0"/>
      <w:divBdr>
        <w:top w:val="none" w:sz="0" w:space="0" w:color="auto"/>
        <w:left w:val="none" w:sz="0" w:space="0" w:color="auto"/>
        <w:bottom w:val="none" w:sz="0" w:space="0" w:color="auto"/>
        <w:right w:val="none" w:sz="0" w:space="0" w:color="auto"/>
      </w:divBdr>
    </w:div>
    <w:div w:id="1404067540">
      <w:bodyDiv w:val="1"/>
      <w:marLeft w:val="0"/>
      <w:marRight w:val="0"/>
      <w:marTop w:val="0"/>
      <w:marBottom w:val="0"/>
      <w:divBdr>
        <w:top w:val="none" w:sz="0" w:space="0" w:color="auto"/>
        <w:left w:val="none" w:sz="0" w:space="0" w:color="auto"/>
        <w:bottom w:val="none" w:sz="0" w:space="0" w:color="auto"/>
        <w:right w:val="none" w:sz="0" w:space="0" w:color="auto"/>
      </w:divBdr>
    </w:div>
    <w:div w:id="1408189436">
      <w:bodyDiv w:val="1"/>
      <w:marLeft w:val="0"/>
      <w:marRight w:val="0"/>
      <w:marTop w:val="0"/>
      <w:marBottom w:val="0"/>
      <w:divBdr>
        <w:top w:val="none" w:sz="0" w:space="0" w:color="auto"/>
        <w:left w:val="none" w:sz="0" w:space="0" w:color="auto"/>
        <w:bottom w:val="none" w:sz="0" w:space="0" w:color="auto"/>
        <w:right w:val="none" w:sz="0" w:space="0" w:color="auto"/>
      </w:divBdr>
    </w:div>
    <w:div w:id="1410301366">
      <w:bodyDiv w:val="1"/>
      <w:marLeft w:val="0"/>
      <w:marRight w:val="0"/>
      <w:marTop w:val="0"/>
      <w:marBottom w:val="0"/>
      <w:divBdr>
        <w:top w:val="none" w:sz="0" w:space="0" w:color="auto"/>
        <w:left w:val="none" w:sz="0" w:space="0" w:color="auto"/>
        <w:bottom w:val="none" w:sz="0" w:space="0" w:color="auto"/>
        <w:right w:val="none" w:sz="0" w:space="0" w:color="auto"/>
      </w:divBdr>
    </w:div>
    <w:div w:id="1411271536">
      <w:bodyDiv w:val="1"/>
      <w:marLeft w:val="0"/>
      <w:marRight w:val="0"/>
      <w:marTop w:val="0"/>
      <w:marBottom w:val="0"/>
      <w:divBdr>
        <w:top w:val="none" w:sz="0" w:space="0" w:color="auto"/>
        <w:left w:val="none" w:sz="0" w:space="0" w:color="auto"/>
        <w:bottom w:val="none" w:sz="0" w:space="0" w:color="auto"/>
        <w:right w:val="none" w:sz="0" w:space="0" w:color="auto"/>
      </w:divBdr>
    </w:div>
    <w:div w:id="1412196804">
      <w:bodyDiv w:val="1"/>
      <w:marLeft w:val="0"/>
      <w:marRight w:val="0"/>
      <w:marTop w:val="0"/>
      <w:marBottom w:val="0"/>
      <w:divBdr>
        <w:top w:val="none" w:sz="0" w:space="0" w:color="auto"/>
        <w:left w:val="none" w:sz="0" w:space="0" w:color="auto"/>
        <w:bottom w:val="none" w:sz="0" w:space="0" w:color="auto"/>
        <w:right w:val="none" w:sz="0" w:space="0" w:color="auto"/>
      </w:divBdr>
    </w:div>
    <w:div w:id="1414548323">
      <w:bodyDiv w:val="1"/>
      <w:marLeft w:val="0"/>
      <w:marRight w:val="0"/>
      <w:marTop w:val="0"/>
      <w:marBottom w:val="0"/>
      <w:divBdr>
        <w:top w:val="none" w:sz="0" w:space="0" w:color="auto"/>
        <w:left w:val="none" w:sz="0" w:space="0" w:color="auto"/>
        <w:bottom w:val="none" w:sz="0" w:space="0" w:color="auto"/>
        <w:right w:val="none" w:sz="0" w:space="0" w:color="auto"/>
      </w:divBdr>
    </w:div>
    <w:div w:id="1417357988">
      <w:bodyDiv w:val="1"/>
      <w:marLeft w:val="0"/>
      <w:marRight w:val="0"/>
      <w:marTop w:val="0"/>
      <w:marBottom w:val="0"/>
      <w:divBdr>
        <w:top w:val="none" w:sz="0" w:space="0" w:color="auto"/>
        <w:left w:val="none" w:sz="0" w:space="0" w:color="auto"/>
        <w:bottom w:val="none" w:sz="0" w:space="0" w:color="auto"/>
        <w:right w:val="none" w:sz="0" w:space="0" w:color="auto"/>
      </w:divBdr>
    </w:div>
    <w:div w:id="1420902991">
      <w:bodyDiv w:val="1"/>
      <w:marLeft w:val="0"/>
      <w:marRight w:val="0"/>
      <w:marTop w:val="0"/>
      <w:marBottom w:val="0"/>
      <w:divBdr>
        <w:top w:val="none" w:sz="0" w:space="0" w:color="auto"/>
        <w:left w:val="none" w:sz="0" w:space="0" w:color="auto"/>
        <w:bottom w:val="none" w:sz="0" w:space="0" w:color="auto"/>
        <w:right w:val="none" w:sz="0" w:space="0" w:color="auto"/>
      </w:divBdr>
    </w:div>
    <w:div w:id="1424376871">
      <w:bodyDiv w:val="1"/>
      <w:marLeft w:val="0"/>
      <w:marRight w:val="0"/>
      <w:marTop w:val="0"/>
      <w:marBottom w:val="0"/>
      <w:divBdr>
        <w:top w:val="none" w:sz="0" w:space="0" w:color="auto"/>
        <w:left w:val="none" w:sz="0" w:space="0" w:color="auto"/>
        <w:bottom w:val="none" w:sz="0" w:space="0" w:color="auto"/>
        <w:right w:val="none" w:sz="0" w:space="0" w:color="auto"/>
      </w:divBdr>
    </w:div>
    <w:div w:id="1426537156">
      <w:bodyDiv w:val="1"/>
      <w:marLeft w:val="0"/>
      <w:marRight w:val="0"/>
      <w:marTop w:val="0"/>
      <w:marBottom w:val="0"/>
      <w:divBdr>
        <w:top w:val="none" w:sz="0" w:space="0" w:color="auto"/>
        <w:left w:val="none" w:sz="0" w:space="0" w:color="auto"/>
        <w:bottom w:val="none" w:sz="0" w:space="0" w:color="auto"/>
        <w:right w:val="none" w:sz="0" w:space="0" w:color="auto"/>
      </w:divBdr>
    </w:div>
    <w:div w:id="1429538902">
      <w:bodyDiv w:val="1"/>
      <w:marLeft w:val="0"/>
      <w:marRight w:val="0"/>
      <w:marTop w:val="0"/>
      <w:marBottom w:val="0"/>
      <w:divBdr>
        <w:top w:val="none" w:sz="0" w:space="0" w:color="auto"/>
        <w:left w:val="none" w:sz="0" w:space="0" w:color="auto"/>
        <w:bottom w:val="none" w:sz="0" w:space="0" w:color="auto"/>
        <w:right w:val="none" w:sz="0" w:space="0" w:color="auto"/>
      </w:divBdr>
    </w:div>
    <w:div w:id="1430812454">
      <w:bodyDiv w:val="1"/>
      <w:marLeft w:val="0"/>
      <w:marRight w:val="0"/>
      <w:marTop w:val="0"/>
      <w:marBottom w:val="0"/>
      <w:divBdr>
        <w:top w:val="none" w:sz="0" w:space="0" w:color="auto"/>
        <w:left w:val="none" w:sz="0" w:space="0" w:color="auto"/>
        <w:bottom w:val="none" w:sz="0" w:space="0" w:color="auto"/>
        <w:right w:val="none" w:sz="0" w:space="0" w:color="auto"/>
      </w:divBdr>
    </w:div>
    <w:div w:id="1437091328">
      <w:bodyDiv w:val="1"/>
      <w:marLeft w:val="0"/>
      <w:marRight w:val="0"/>
      <w:marTop w:val="0"/>
      <w:marBottom w:val="0"/>
      <w:divBdr>
        <w:top w:val="none" w:sz="0" w:space="0" w:color="auto"/>
        <w:left w:val="none" w:sz="0" w:space="0" w:color="auto"/>
        <w:bottom w:val="none" w:sz="0" w:space="0" w:color="auto"/>
        <w:right w:val="none" w:sz="0" w:space="0" w:color="auto"/>
      </w:divBdr>
    </w:div>
    <w:div w:id="1443308594">
      <w:bodyDiv w:val="1"/>
      <w:marLeft w:val="0"/>
      <w:marRight w:val="0"/>
      <w:marTop w:val="0"/>
      <w:marBottom w:val="0"/>
      <w:divBdr>
        <w:top w:val="none" w:sz="0" w:space="0" w:color="auto"/>
        <w:left w:val="none" w:sz="0" w:space="0" w:color="auto"/>
        <w:bottom w:val="none" w:sz="0" w:space="0" w:color="auto"/>
        <w:right w:val="none" w:sz="0" w:space="0" w:color="auto"/>
      </w:divBdr>
    </w:div>
    <w:div w:id="1449467106">
      <w:bodyDiv w:val="1"/>
      <w:marLeft w:val="0"/>
      <w:marRight w:val="0"/>
      <w:marTop w:val="0"/>
      <w:marBottom w:val="0"/>
      <w:divBdr>
        <w:top w:val="none" w:sz="0" w:space="0" w:color="auto"/>
        <w:left w:val="none" w:sz="0" w:space="0" w:color="auto"/>
        <w:bottom w:val="none" w:sz="0" w:space="0" w:color="auto"/>
        <w:right w:val="none" w:sz="0" w:space="0" w:color="auto"/>
      </w:divBdr>
    </w:div>
    <w:div w:id="1455904243">
      <w:bodyDiv w:val="1"/>
      <w:marLeft w:val="0"/>
      <w:marRight w:val="0"/>
      <w:marTop w:val="0"/>
      <w:marBottom w:val="0"/>
      <w:divBdr>
        <w:top w:val="none" w:sz="0" w:space="0" w:color="auto"/>
        <w:left w:val="none" w:sz="0" w:space="0" w:color="auto"/>
        <w:bottom w:val="none" w:sz="0" w:space="0" w:color="auto"/>
        <w:right w:val="none" w:sz="0" w:space="0" w:color="auto"/>
      </w:divBdr>
    </w:div>
    <w:div w:id="1455948295">
      <w:bodyDiv w:val="1"/>
      <w:marLeft w:val="0"/>
      <w:marRight w:val="0"/>
      <w:marTop w:val="0"/>
      <w:marBottom w:val="0"/>
      <w:divBdr>
        <w:top w:val="none" w:sz="0" w:space="0" w:color="auto"/>
        <w:left w:val="none" w:sz="0" w:space="0" w:color="auto"/>
        <w:bottom w:val="none" w:sz="0" w:space="0" w:color="auto"/>
        <w:right w:val="none" w:sz="0" w:space="0" w:color="auto"/>
      </w:divBdr>
    </w:div>
    <w:div w:id="1456101062">
      <w:bodyDiv w:val="1"/>
      <w:marLeft w:val="0"/>
      <w:marRight w:val="0"/>
      <w:marTop w:val="0"/>
      <w:marBottom w:val="0"/>
      <w:divBdr>
        <w:top w:val="none" w:sz="0" w:space="0" w:color="auto"/>
        <w:left w:val="none" w:sz="0" w:space="0" w:color="auto"/>
        <w:bottom w:val="none" w:sz="0" w:space="0" w:color="auto"/>
        <w:right w:val="none" w:sz="0" w:space="0" w:color="auto"/>
      </w:divBdr>
    </w:div>
    <w:div w:id="1456481073">
      <w:bodyDiv w:val="1"/>
      <w:marLeft w:val="0"/>
      <w:marRight w:val="0"/>
      <w:marTop w:val="0"/>
      <w:marBottom w:val="0"/>
      <w:divBdr>
        <w:top w:val="none" w:sz="0" w:space="0" w:color="auto"/>
        <w:left w:val="none" w:sz="0" w:space="0" w:color="auto"/>
        <w:bottom w:val="none" w:sz="0" w:space="0" w:color="auto"/>
        <w:right w:val="none" w:sz="0" w:space="0" w:color="auto"/>
      </w:divBdr>
    </w:div>
    <w:div w:id="1459059489">
      <w:bodyDiv w:val="1"/>
      <w:marLeft w:val="0"/>
      <w:marRight w:val="0"/>
      <w:marTop w:val="0"/>
      <w:marBottom w:val="0"/>
      <w:divBdr>
        <w:top w:val="none" w:sz="0" w:space="0" w:color="auto"/>
        <w:left w:val="none" w:sz="0" w:space="0" w:color="auto"/>
        <w:bottom w:val="none" w:sz="0" w:space="0" w:color="auto"/>
        <w:right w:val="none" w:sz="0" w:space="0" w:color="auto"/>
      </w:divBdr>
    </w:div>
    <w:div w:id="1470514037">
      <w:bodyDiv w:val="1"/>
      <w:marLeft w:val="0"/>
      <w:marRight w:val="0"/>
      <w:marTop w:val="0"/>
      <w:marBottom w:val="0"/>
      <w:divBdr>
        <w:top w:val="none" w:sz="0" w:space="0" w:color="auto"/>
        <w:left w:val="none" w:sz="0" w:space="0" w:color="auto"/>
        <w:bottom w:val="none" w:sz="0" w:space="0" w:color="auto"/>
        <w:right w:val="none" w:sz="0" w:space="0" w:color="auto"/>
      </w:divBdr>
    </w:div>
    <w:div w:id="1474371682">
      <w:bodyDiv w:val="1"/>
      <w:marLeft w:val="0"/>
      <w:marRight w:val="0"/>
      <w:marTop w:val="0"/>
      <w:marBottom w:val="0"/>
      <w:divBdr>
        <w:top w:val="none" w:sz="0" w:space="0" w:color="auto"/>
        <w:left w:val="none" w:sz="0" w:space="0" w:color="auto"/>
        <w:bottom w:val="none" w:sz="0" w:space="0" w:color="auto"/>
        <w:right w:val="none" w:sz="0" w:space="0" w:color="auto"/>
      </w:divBdr>
    </w:div>
    <w:div w:id="1485967011">
      <w:bodyDiv w:val="1"/>
      <w:marLeft w:val="0"/>
      <w:marRight w:val="0"/>
      <w:marTop w:val="0"/>
      <w:marBottom w:val="0"/>
      <w:divBdr>
        <w:top w:val="none" w:sz="0" w:space="0" w:color="auto"/>
        <w:left w:val="none" w:sz="0" w:space="0" w:color="auto"/>
        <w:bottom w:val="none" w:sz="0" w:space="0" w:color="auto"/>
        <w:right w:val="none" w:sz="0" w:space="0" w:color="auto"/>
      </w:divBdr>
    </w:div>
    <w:div w:id="1488402802">
      <w:bodyDiv w:val="1"/>
      <w:marLeft w:val="0"/>
      <w:marRight w:val="0"/>
      <w:marTop w:val="0"/>
      <w:marBottom w:val="0"/>
      <w:divBdr>
        <w:top w:val="none" w:sz="0" w:space="0" w:color="auto"/>
        <w:left w:val="none" w:sz="0" w:space="0" w:color="auto"/>
        <w:bottom w:val="none" w:sz="0" w:space="0" w:color="auto"/>
        <w:right w:val="none" w:sz="0" w:space="0" w:color="auto"/>
      </w:divBdr>
    </w:div>
    <w:div w:id="1489902390">
      <w:bodyDiv w:val="1"/>
      <w:marLeft w:val="0"/>
      <w:marRight w:val="0"/>
      <w:marTop w:val="0"/>
      <w:marBottom w:val="0"/>
      <w:divBdr>
        <w:top w:val="none" w:sz="0" w:space="0" w:color="auto"/>
        <w:left w:val="none" w:sz="0" w:space="0" w:color="auto"/>
        <w:bottom w:val="none" w:sz="0" w:space="0" w:color="auto"/>
        <w:right w:val="none" w:sz="0" w:space="0" w:color="auto"/>
      </w:divBdr>
    </w:div>
    <w:div w:id="1490948976">
      <w:bodyDiv w:val="1"/>
      <w:marLeft w:val="0"/>
      <w:marRight w:val="0"/>
      <w:marTop w:val="0"/>
      <w:marBottom w:val="0"/>
      <w:divBdr>
        <w:top w:val="none" w:sz="0" w:space="0" w:color="auto"/>
        <w:left w:val="none" w:sz="0" w:space="0" w:color="auto"/>
        <w:bottom w:val="none" w:sz="0" w:space="0" w:color="auto"/>
        <w:right w:val="none" w:sz="0" w:space="0" w:color="auto"/>
      </w:divBdr>
    </w:div>
    <w:div w:id="1491099859">
      <w:bodyDiv w:val="1"/>
      <w:marLeft w:val="0"/>
      <w:marRight w:val="0"/>
      <w:marTop w:val="0"/>
      <w:marBottom w:val="0"/>
      <w:divBdr>
        <w:top w:val="none" w:sz="0" w:space="0" w:color="auto"/>
        <w:left w:val="none" w:sz="0" w:space="0" w:color="auto"/>
        <w:bottom w:val="none" w:sz="0" w:space="0" w:color="auto"/>
        <w:right w:val="none" w:sz="0" w:space="0" w:color="auto"/>
      </w:divBdr>
    </w:div>
    <w:div w:id="1491215504">
      <w:bodyDiv w:val="1"/>
      <w:marLeft w:val="0"/>
      <w:marRight w:val="0"/>
      <w:marTop w:val="0"/>
      <w:marBottom w:val="0"/>
      <w:divBdr>
        <w:top w:val="none" w:sz="0" w:space="0" w:color="auto"/>
        <w:left w:val="none" w:sz="0" w:space="0" w:color="auto"/>
        <w:bottom w:val="none" w:sz="0" w:space="0" w:color="auto"/>
        <w:right w:val="none" w:sz="0" w:space="0" w:color="auto"/>
      </w:divBdr>
    </w:div>
    <w:div w:id="1491756281">
      <w:bodyDiv w:val="1"/>
      <w:marLeft w:val="0"/>
      <w:marRight w:val="0"/>
      <w:marTop w:val="0"/>
      <w:marBottom w:val="0"/>
      <w:divBdr>
        <w:top w:val="none" w:sz="0" w:space="0" w:color="auto"/>
        <w:left w:val="none" w:sz="0" w:space="0" w:color="auto"/>
        <w:bottom w:val="none" w:sz="0" w:space="0" w:color="auto"/>
        <w:right w:val="none" w:sz="0" w:space="0" w:color="auto"/>
      </w:divBdr>
    </w:div>
    <w:div w:id="1492713653">
      <w:bodyDiv w:val="1"/>
      <w:marLeft w:val="0"/>
      <w:marRight w:val="0"/>
      <w:marTop w:val="0"/>
      <w:marBottom w:val="0"/>
      <w:divBdr>
        <w:top w:val="none" w:sz="0" w:space="0" w:color="auto"/>
        <w:left w:val="none" w:sz="0" w:space="0" w:color="auto"/>
        <w:bottom w:val="none" w:sz="0" w:space="0" w:color="auto"/>
        <w:right w:val="none" w:sz="0" w:space="0" w:color="auto"/>
      </w:divBdr>
    </w:div>
    <w:div w:id="1495143516">
      <w:bodyDiv w:val="1"/>
      <w:marLeft w:val="0"/>
      <w:marRight w:val="0"/>
      <w:marTop w:val="0"/>
      <w:marBottom w:val="0"/>
      <w:divBdr>
        <w:top w:val="none" w:sz="0" w:space="0" w:color="auto"/>
        <w:left w:val="none" w:sz="0" w:space="0" w:color="auto"/>
        <w:bottom w:val="none" w:sz="0" w:space="0" w:color="auto"/>
        <w:right w:val="none" w:sz="0" w:space="0" w:color="auto"/>
      </w:divBdr>
    </w:div>
    <w:div w:id="1495878418">
      <w:bodyDiv w:val="1"/>
      <w:marLeft w:val="0"/>
      <w:marRight w:val="0"/>
      <w:marTop w:val="0"/>
      <w:marBottom w:val="0"/>
      <w:divBdr>
        <w:top w:val="none" w:sz="0" w:space="0" w:color="auto"/>
        <w:left w:val="none" w:sz="0" w:space="0" w:color="auto"/>
        <w:bottom w:val="none" w:sz="0" w:space="0" w:color="auto"/>
        <w:right w:val="none" w:sz="0" w:space="0" w:color="auto"/>
      </w:divBdr>
    </w:div>
    <w:div w:id="1496725431">
      <w:bodyDiv w:val="1"/>
      <w:marLeft w:val="0"/>
      <w:marRight w:val="0"/>
      <w:marTop w:val="0"/>
      <w:marBottom w:val="0"/>
      <w:divBdr>
        <w:top w:val="none" w:sz="0" w:space="0" w:color="auto"/>
        <w:left w:val="none" w:sz="0" w:space="0" w:color="auto"/>
        <w:bottom w:val="none" w:sz="0" w:space="0" w:color="auto"/>
        <w:right w:val="none" w:sz="0" w:space="0" w:color="auto"/>
      </w:divBdr>
    </w:div>
    <w:div w:id="1503813556">
      <w:bodyDiv w:val="1"/>
      <w:marLeft w:val="0"/>
      <w:marRight w:val="0"/>
      <w:marTop w:val="0"/>
      <w:marBottom w:val="0"/>
      <w:divBdr>
        <w:top w:val="none" w:sz="0" w:space="0" w:color="auto"/>
        <w:left w:val="none" w:sz="0" w:space="0" w:color="auto"/>
        <w:bottom w:val="none" w:sz="0" w:space="0" w:color="auto"/>
        <w:right w:val="none" w:sz="0" w:space="0" w:color="auto"/>
      </w:divBdr>
    </w:div>
    <w:div w:id="1505436549">
      <w:bodyDiv w:val="1"/>
      <w:marLeft w:val="0"/>
      <w:marRight w:val="0"/>
      <w:marTop w:val="0"/>
      <w:marBottom w:val="0"/>
      <w:divBdr>
        <w:top w:val="none" w:sz="0" w:space="0" w:color="auto"/>
        <w:left w:val="none" w:sz="0" w:space="0" w:color="auto"/>
        <w:bottom w:val="none" w:sz="0" w:space="0" w:color="auto"/>
        <w:right w:val="none" w:sz="0" w:space="0" w:color="auto"/>
      </w:divBdr>
    </w:div>
    <w:div w:id="1505701334">
      <w:bodyDiv w:val="1"/>
      <w:marLeft w:val="0"/>
      <w:marRight w:val="0"/>
      <w:marTop w:val="0"/>
      <w:marBottom w:val="0"/>
      <w:divBdr>
        <w:top w:val="none" w:sz="0" w:space="0" w:color="auto"/>
        <w:left w:val="none" w:sz="0" w:space="0" w:color="auto"/>
        <w:bottom w:val="none" w:sz="0" w:space="0" w:color="auto"/>
        <w:right w:val="none" w:sz="0" w:space="0" w:color="auto"/>
      </w:divBdr>
    </w:div>
    <w:div w:id="1507161926">
      <w:bodyDiv w:val="1"/>
      <w:marLeft w:val="0"/>
      <w:marRight w:val="0"/>
      <w:marTop w:val="0"/>
      <w:marBottom w:val="0"/>
      <w:divBdr>
        <w:top w:val="none" w:sz="0" w:space="0" w:color="auto"/>
        <w:left w:val="none" w:sz="0" w:space="0" w:color="auto"/>
        <w:bottom w:val="none" w:sz="0" w:space="0" w:color="auto"/>
        <w:right w:val="none" w:sz="0" w:space="0" w:color="auto"/>
      </w:divBdr>
    </w:div>
    <w:div w:id="1508325809">
      <w:bodyDiv w:val="1"/>
      <w:marLeft w:val="0"/>
      <w:marRight w:val="0"/>
      <w:marTop w:val="0"/>
      <w:marBottom w:val="0"/>
      <w:divBdr>
        <w:top w:val="none" w:sz="0" w:space="0" w:color="auto"/>
        <w:left w:val="none" w:sz="0" w:space="0" w:color="auto"/>
        <w:bottom w:val="none" w:sz="0" w:space="0" w:color="auto"/>
        <w:right w:val="none" w:sz="0" w:space="0" w:color="auto"/>
      </w:divBdr>
    </w:div>
    <w:div w:id="1511027659">
      <w:bodyDiv w:val="1"/>
      <w:marLeft w:val="0"/>
      <w:marRight w:val="0"/>
      <w:marTop w:val="0"/>
      <w:marBottom w:val="0"/>
      <w:divBdr>
        <w:top w:val="none" w:sz="0" w:space="0" w:color="auto"/>
        <w:left w:val="none" w:sz="0" w:space="0" w:color="auto"/>
        <w:bottom w:val="none" w:sz="0" w:space="0" w:color="auto"/>
        <w:right w:val="none" w:sz="0" w:space="0" w:color="auto"/>
      </w:divBdr>
    </w:div>
    <w:div w:id="1512181709">
      <w:bodyDiv w:val="1"/>
      <w:marLeft w:val="0"/>
      <w:marRight w:val="0"/>
      <w:marTop w:val="0"/>
      <w:marBottom w:val="0"/>
      <w:divBdr>
        <w:top w:val="none" w:sz="0" w:space="0" w:color="auto"/>
        <w:left w:val="none" w:sz="0" w:space="0" w:color="auto"/>
        <w:bottom w:val="none" w:sz="0" w:space="0" w:color="auto"/>
        <w:right w:val="none" w:sz="0" w:space="0" w:color="auto"/>
      </w:divBdr>
    </w:div>
    <w:div w:id="1516529650">
      <w:bodyDiv w:val="1"/>
      <w:marLeft w:val="0"/>
      <w:marRight w:val="0"/>
      <w:marTop w:val="0"/>
      <w:marBottom w:val="0"/>
      <w:divBdr>
        <w:top w:val="none" w:sz="0" w:space="0" w:color="auto"/>
        <w:left w:val="none" w:sz="0" w:space="0" w:color="auto"/>
        <w:bottom w:val="none" w:sz="0" w:space="0" w:color="auto"/>
        <w:right w:val="none" w:sz="0" w:space="0" w:color="auto"/>
      </w:divBdr>
    </w:div>
    <w:div w:id="1517814511">
      <w:bodyDiv w:val="1"/>
      <w:marLeft w:val="0"/>
      <w:marRight w:val="0"/>
      <w:marTop w:val="0"/>
      <w:marBottom w:val="0"/>
      <w:divBdr>
        <w:top w:val="none" w:sz="0" w:space="0" w:color="auto"/>
        <w:left w:val="none" w:sz="0" w:space="0" w:color="auto"/>
        <w:bottom w:val="none" w:sz="0" w:space="0" w:color="auto"/>
        <w:right w:val="none" w:sz="0" w:space="0" w:color="auto"/>
      </w:divBdr>
    </w:div>
    <w:div w:id="1520581124">
      <w:bodyDiv w:val="1"/>
      <w:marLeft w:val="0"/>
      <w:marRight w:val="0"/>
      <w:marTop w:val="0"/>
      <w:marBottom w:val="0"/>
      <w:divBdr>
        <w:top w:val="none" w:sz="0" w:space="0" w:color="auto"/>
        <w:left w:val="none" w:sz="0" w:space="0" w:color="auto"/>
        <w:bottom w:val="none" w:sz="0" w:space="0" w:color="auto"/>
        <w:right w:val="none" w:sz="0" w:space="0" w:color="auto"/>
      </w:divBdr>
    </w:div>
    <w:div w:id="1520895839">
      <w:bodyDiv w:val="1"/>
      <w:marLeft w:val="0"/>
      <w:marRight w:val="0"/>
      <w:marTop w:val="0"/>
      <w:marBottom w:val="0"/>
      <w:divBdr>
        <w:top w:val="none" w:sz="0" w:space="0" w:color="auto"/>
        <w:left w:val="none" w:sz="0" w:space="0" w:color="auto"/>
        <w:bottom w:val="none" w:sz="0" w:space="0" w:color="auto"/>
        <w:right w:val="none" w:sz="0" w:space="0" w:color="auto"/>
      </w:divBdr>
    </w:div>
    <w:div w:id="1523668053">
      <w:bodyDiv w:val="1"/>
      <w:marLeft w:val="0"/>
      <w:marRight w:val="0"/>
      <w:marTop w:val="0"/>
      <w:marBottom w:val="0"/>
      <w:divBdr>
        <w:top w:val="none" w:sz="0" w:space="0" w:color="auto"/>
        <w:left w:val="none" w:sz="0" w:space="0" w:color="auto"/>
        <w:bottom w:val="none" w:sz="0" w:space="0" w:color="auto"/>
        <w:right w:val="none" w:sz="0" w:space="0" w:color="auto"/>
      </w:divBdr>
    </w:div>
    <w:div w:id="1525167224">
      <w:bodyDiv w:val="1"/>
      <w:marLeft w:val="0"/>
      <w:marRight w:val="0"/>
      <w:marTop w:val="0"/>
      <w:marBottom w:val="0"/>
      <w:divBdr>
        <w:top w:val="none" w:sz="0" w:space="0" w:color="auto"/>
        <w:left w:val="none" w:sz="0" w:space="0" w:color="auto"/>
        <w:bottom w:val="none" w:sz="0" w:space="0" w:color="auto"/>
        <w:right w:val="none" w:sz="0" w:space="0" w:color="auto"/>
      </w:divBdr>
    </w:div>
    <w:div w:id="1531458887">
      <w:bodyDiv w:val="1"/>
      <w:marLeft w:val="0"/>
      <w:marRight w:val="0"/>
      <w:marTop w:val="0"/>
      <w:marBottom w:val="0"/>
      <w:divBdr>
        <w:top w:val="none" w:sz="0" w:space="0" w:color="auto"/>
        <w:left w:val="none" w:sz="0" w:space="0" w:color="auto"/>
        <w:bottom w:val="none" w:sz="0" w:space="0" w:color="auto"/>
        <w:right w:val="none" w:sz="0" w:space="0" w:color="auto"/>
      </w:divBdr>
    </w:div>
    <w:div w:id="1533346553">
      <w:bodyDiv w:val="1"/>
      <w:marLeft w:val="0"/>
      <w:marRight w:val="0"/>
      <w:marTop w:val="0"/>
      <w:marBottom w:val="0"/>
      <w:divBdr>
        <w:top w:val="none" w:sz="0" w:space="0" w:color="auto"/>
        <w:left w:val="none" w:sz="0" w:space="0" w:color="auto"/>
        <w:bottom w:val="none" w:sz="0" w:space="0" w:color="auto"/>
        <w:right w:val="none" w:sz="0" w:space="0" w:color="auto"/>
      </w:divBdr>
    </w:div>
    <w:div w:id="1533768192">
      <w:bodyDiv w:val="1"/>
      <w:marLeft w:val="0"/>
      <w:marRight w:val="0"/>
      <w:marTop w:val="0"/>
      <w:marBottom w:val="0"/>
      <w:divBdr>
        <w:top w:val="none" w:sz="0" w:space="0" w:color="auto"/>
        <w:left w:val="none" w:sz="0" w:space="0" w:color="auto"/>
        <w:bottom w:val="none" w:sz="0" w:space="0" w:color="auto"/>
        <w:right w:val="none" w:sz="0" w:space="0" w:color="auto"/>
      </w:divBdr>
    </w:div>
    <w:div w:id="1534225006">
      <w:bodyDiv w:val="1"/>
      <w:marLeft w:val="0"/>
      <w:marRight w:val="0"/>
      <w:marTop w:val="0"/>
      <w:marBottom w:val="0"/>
      <w:divBdr>
        <w:top w:val="none" w:sz="0" w:space="0" w:color="auto"/>
        <w:left w:val="none" w:sz="0" w:space="0" w:color="auto"/>
        <w:bottom w:val="none" w:sz="0" w:space="0" w:color="auto"/>
        <w:right w:val="none" w:sz="0" w:space="0" w:color="auto"/>
      </w:divBdr>
    </w:div>
    <w:div w:id="1541551561">
      <w:bodyDiv w:val="1"/>
      <w:marLeft w:val="0"/>
      <w:marRight w:val="0"/>
      <w:marTop w:val="0"/>
      <w:marBottom w:val="0"/>
      <w:divBdr>
        <w:top w:val="none" w:sz="0" w:space="0" w:color="auto"/>
        <w:left w:val="none" w:sz="0" w:space="0" w:color="auto"/>
        <w:bottom w:val="none" w:sz="0" w:space="0" w:color="auto"/>
        <w:right w:val="none" w:sz="0" w:space="0" w:color="auto"/>
      </w:divBdr>
    </w:div>
    <w:div w:id="1553268821">
      <w:bodyDiv w:val="1"/>
      <w:marLeft w:val="0"/>
      <w:marRight w:val="0"/>
      <w:marTop w:val="0"/>
      <w:marBottom w:val="0"/>
      <w:divBdr>
        <w:top w:val="none" w:sz="0" w:space="0" w:color="auto"/>
        <w:left w:val="none" w:sz="0" w:space="0" w:color="auto"/>
        <w:bottom w:val="none" w:sz="0" w:space="0" w:color="auto"/>
        <w:right w:val="none" w:sz="0" w:space="0" w:color="auto"/>
      </w:divBdr>
    </w:div>
    <w:div w:id="1553611820">
      <w:bodyDiv w:val="1"/>
      <w:marLeft w:val="0"/>
      <w:marRight w:val="0"/>
      <w:marTop w:val="0"/>
      <w:marBottom w:val="0"/>
      <w:divBdr>
        <w:top w:val="none" w:sz="0" w:space="0" w:color="auto"/>
        <w:left w:val="none" w:sz="0" w:space="0" w:color="auto"/>
        <w:bottom w:val="none" w:sz="0" w:space="0" w:color="auto"/>
        <w:right w:val="none" w:sz="0" w:space="0" w:color="auto"/>
      </w:divBdr>
    </w:div>
    <w:div w:id="1561285073">
      <w:bodyDiv w:val="1"/>
      <w:marLeft w:val="0"/>
      <w:marRight w:val="0"/>
      <w:marTop w:val="0"/>
      <w:marBottom w:val="0"/>
      <w:divBdr>
        <w:top w:val="none" w:sz="0" w:space="0" w:color="auto"/>
        <w:left w:val="none" w:sz="0" w:space="0" w:color="auto"/>
        <w:bottom w:val="none" w:sz="0" w:space="0" w:color="auto"/>
        <w:right w:val="none" w:sz="0" w:space="0" w:color="auto"/>
      </w:divBdr>
    </w:div>
    <w:div w:id="1566529589">
      <w:bodyDiv w:val="1"/>
      <w:marLeft w:val="0"/>
      <w:marRight w:val="0"/>
      <w:marTop w:val="0"/>
      <w:marBottom w:val="0"/>
      <w:divBdr>
        <w:top w:val="none" w:sz="0" w:space="0" w:color="auto"/>
        <w:left w:val="none" w:sz="0" w:space="0" w:color="auto"/>
        <w:bottom w:val="none" w:sz="0" w:space="0" w:color="auto"/>
        <w:right w:val="none" w:sz="0" w:space="0" w:color="auto"/>
      </w:divBdr>
    </w:div>
    <w:div w:id="1570925157">
      <w:bodyDiv w:val="1"/>
      <w:marLeft w:val="0"/>
      <w:marRight w:val="0"/>
      <w:marTop w:val="0"/>
      <w:marBottom w:val="0"/>
      <w:divBdr>
        <w:top w:val="none" w:sz="0" w:space="0" w:color="auto"/>
        <w:left w:val="none" w:sz="0" w:space="0" w:color="auto"/>
        <w:bottom w:val="none" w:sz="0" w:space="0" w:color="auto"/>
        <w:right w:val="none" w:sz="0" w:space="0" w:color="auto"/>
      </w:divBdr>
    </w:div>
    <w:div w:id="1574899448">
      <w:bodyDiv w:val="1"/>
      <w:marLeft w:val="0"/>
      <w:marRight w:val="0"/>
      <w:marTop w:val="0"/>
      <w:marBottom w:val="0"/>
      <w:divBdr>
        <w:top w:val="none" w:sz="0" w:space="0" w:color="auto"/>
        <w:left w:val="none" w:sz="0" w:space="0" w:color="auto"/>
        <w:bottom w:val="none" w:sz="0" w:space="0" w:color="auto"/>
        <w:right w:val="none" w:sz="0" w:space="0" w:color="auto"/>
      </w:divBdr>
    </w:div>
    <w:div w:id="1576354813">
      <w:bodyDiv w:val="1"/>
      <w:marLeft w:val="0"/>
      <w:marRight w:val="0"/>
      <w:marTop w:val="0"/>
      <w:marBottom w:val="0"/>
      <w:divBdr>
        <w:top w:val="none" w:sz="0" w:space="0" w:color="auto"/>
        <w:left w:val="none" w:sz="0" w:space="0" w:color="auto"/>
        <w:bottom w:val="none" w:sz="0" w:space="0" w:color="auto"/>
        <w:right w:val="none" w:sz="0" w:space="0" w:color="auto"/>
      </w:divBdr>
    </w:div>
    <w:div w:id="1579440595">
      <w:bodyDiv w:val="1"/>
      <w:marLeft w:val="0"/>
      <w:marRight w:val="0"/>
      <w:marTop w:val="0"/>
      <w:marBottom w:val="0"/>
      <w:divBdr>
        <w:top w:val="none" w:sz="0" w:space="0" w:color="auto"/>
        <w:left w:val="none" w:sz="0" w:space="0" w:color="auto"/>
        <w:bottom w:val="none" w:sz="0" w:space="0" w:color="auto"/>
        <w:right w:val="none" w:sz="0" w:space="0" w:color="auto"/>
      </w:divBdr>
    </w:div>
    <w:div w:id="1586694432">
      <w:bodyDiv w:val="1"/>
      <w:marLeft w:val="0"/>
      <w:marRight w:val="0"/>
      <w:marTop w:val="0"/>
      <w:marBottom w:val="0"/>
      <w:divBdr>
        <w:top w:val="none" w:sz="0" w:space="0" w:color="auto"/>
        <w:left w:val="none" w:sz="0" w:space="0" w:color="auto"/>
        <w:bottom w:val="none" w:sz="0" w:space="0" w:color="auto"/>
        <w:right w:val="none" w:sz="0" w:space="0" w:color="auto"/>
      </w:divBdr>
    </w:div>
    <w:div w:id="1587618082">
      <w:bodyDiv w:val="1"/>
      <w:marLeft w:val="0"/>
      <w:marRight w:val="0"/>
      <w:marTop w:val="0"/>
      <w:marBottom w:val="0"/>
      <w:divBdr>
        <w:top w:val="none" w:sz="0" w:space="0" w:color="auto"/>
        <w:left w:val="none" w:sz="0" w:space="0" w:color="auto"/>
        <w:bottom w:val="none" w:sz="0" w:space="0" w:color="auto"/>
        <w:right w:val="none" w:sz="0" w:space="0" w:color="auto"/>
      </w:divBdr>
    </w:div>
    <w:div w:id="1588539051">
      <w:bodyDiv w:val="1"/>
      <w:marLeft w:val="0"/>
      <w:marRight w:val="0"/>
      <w:marTop w:val="0"/>
      <w:marBottom w:val="0"/>
      <w:divBdr>
        <w:top w:val="none" w:sz="0" w:space="0" w:color="auto"/>
        <w:left w:val="none" w:sz="0" w:space="0" w:color="auto"/>
        <w:bottom w:val="none" w:sz="0" w:space="0" w:color="auto"/>
        <w:right w:val="none" w:sz="0" w:space="0" w:color="auto"/>
      </w:divBdr>
    </w:div>
    <w:div w:id="1588926010">
      <w:bodyDiv w:val="1"/>
      <w:marLeft w:val="0"/>
      <w:marRight w:val="0"/>
      <w:marTop w:val="0"/>
      <w:marBottom w:val="0"/>
      <w:divBdr>
        <w:top w:val="none" w:sz="0" w:space="0" w:color="auto"/>
        <w:left w:val="none" w:sz="0" w:space="0" w:color="auto"/>
        <w:bottom w:val="none" w:sz="0" w:space="0" w:color="auto"/>
        <w:right w:val="none" w:sz="0" w:space="0" w:color="auto"/>
      </w:divBdr>
    </w:div>
    <w:div w:id="1590231398">
      <w:bodyDiv w:val="1"/>
      <w:marLeft w:val="0"/>
      <w:marRight w:val="0"/>
      <w:marTop w:val="0"/>
      <w:marBottom w:val="0"/>
      <w:divBdr>
        <w:top w:val="none" w:sz="0" w:space="0" w:color="auto"/>
        <w:left w:val="none" w:sz="0" w:space="0" w:color="auto"/>
        <w:bottom w:val="none" w:sz="0" w:space="0" w:color="auto"/>
        <w:right w:val="none" w:sz="0" w:space="0" w:color="auto"/>
      </w:divBdr>
    </w:div>
    <w:div w:id="1598636750">
      <w:bodyDiv w:val="1"/>
      <w:marLeft w:val="0"/>
      <w:marRight w:val="0"/>
      <w:marTop w:val="0"/>
      <w:marBottom w:val="0"/>
      <w:divBdr>
        <w:top w:val="none" w:sz="0" w:space="0" w:color="auto"/>
        <w:left w:val="none" w:sz="0" w:space="0" w:color="auto"/>
        <w:bottom w:val="none" w:sz="0" w:space="0" w:color="auto"/>
        <w:right w:val="none" w:sz="0" w:space="0" w:color="auto"/>
      </w:divBdr>
    </w:div>
    <w:div w:id="1601378586">
      <w:bodyDiv w:val="1"/>
      <w:marLeft w:val="0"/>
      <w:marRight w:val="0"/>
      <w:marTop w:val="0"/>
      <w:marBottom w:val="0"/>
      <w:divBdr>
        <w:top w:val="none" w:sz="0" w:space="0" w:color="auto"/>
        <w:left w:val="none" w:sz="0" w:space="0" w:color="auto"/>
        <w:bottom w:val="none" w:sz="0" w:space="0" w:color="auto"/>
        <w:right w:val="none" w:sz="0" w:space="0" w:color="auto"/>
      </w:divBdr>
    </w:div>
    <w:div w:id="1604150502">
      <w:bodyDiv w:val="1"/>
      <w:marLeft w:val="0"/>
      <w:marRight w:val="0"/>
      <w:marTop w:val="0"/>
      <w:marBottom w:val="0"/>
      <w:divBdr>
        <w:top w:val="none" w:sz="0" w:space="0" w:color="auto"/>
        <w:left w:val="none" w:sz="0" w:space="0" w:color="auto"/>
        <w:bottom w:val="none" w:sz="0" w:space="0" w:color="auto"/>
        <w:right w:val="none" w:sz="0" w:space="0" w:color="auto"/>
      </w:divBdr>
    </w:div>
    <w:div w:id="1611159283">
      <w:bodyDiv w:val="1"/>
      <w:marLeft w:val="0"/>
      <w:marRight w:val="0"/>
      <w:marTop w:val="0"/>
      <w:marBottom w:val="0"/>
      <w:divBdr>
        <w:top w:val="none" w:sz="0" w:space="0" w:color="auto"/>
        <w:left w:val="none" w:sz="0" w:space="0" w:color="auto"/>
        <w:bottom w:val="none" w:sz="0" w:space="0" w:color="auto"/>
        <w:right w:val="none" w:sz="0" w:space="0" w:color="auto"/>
      </w:divBdr>
    </w:div>
    <w:div w:id="1617180166">
      <w:bodyDiv w:val="1"/>
      <w:marLeft w:val="0"/>
      <w:marRight w:val="0"/>
      <w:marTop w:val="0"/>
      <w:marBottom w:val="0"/>
      <w:divBdr>
        <w:top w:val="none" w:sz="0" w:space="0" w:color="auto"/>
        <w:left w:val="none" w:sz="0" w:space="0" w:color="auto"/>
        <w:bottom w:val="none" w:sz="0" w:space="0" w:color="auto"/>
        <w:right w:val="none" w:sz="0" w:space="0" w:color="auto"/>
      </w:divBdr>
    </w:div>
    <w:div w:id="1619943881">
      <w:bodyDiv w:val="1"/>
      <w:marLeft w:val="0"/>
      <w:marRight w:val="0"/>
      <w:marTop w:val="0"/>
      <w:marBottom w:val="0"/>
      <w:divBdr>
        <w:top w:val="none" w:sz="0" w:space="0" w:color="auto"/>
        <w:left w:val="none" w:sz="0" w:space="0" w:color="auto"/>
        <w:bottom w:val="none" w:sz="0" w:space="0" w:color="auto"/>
        <w:right w:val="none" w:sz="0" w:space="0" w:color="auto"/>
      </w:divBdr>
    </w:div>
    <w:div w:id="1621035718">
      <w:bodyDiv w:val="1"/>
      <w:marLeft w:val="0"/>
      <w:marRight w:val="0"/>
      <w:marTop w:val="0"/>
      <w:marBottom w:val="0"/>
      <w:divBdr>
        <w:top w:val="none" w:sz="0" w:space="0" w:color="auto"/>
        <w:left w:val="none" w:sz="0" w:space="0" w:color="auto"/>
        <w:bottom w:val="none" w:sz="0" w:space="0" w:color="auto"/>
        <w:right w:val="none" w:sz="0" w:space="0" w:color="auto"/>
      </w:divBdr>
    </w:div>
    <w:div w:id="1622952493">
      <w:bodyDiv w:val="1"/>
      <w:marLeft w:val="0"/>
      <w:marRight w:val="0"/>
      <w:marTop w:val="0"/>
      <w:marBottom w:val="0"/>
      <w:divBdr>
        <w:top w:val="none" w:sz="0" w:space="0" w:color="auto"/>
        <w:left w:val="none" w:sz="0" w:space="0" w:color="auto"/>
        <w:bottom w:val="none" w:sz="0" w:space="0" w:color="auto"/>
        <w:right w:val="none" w:sz="0" w:space="0" w:color="auto"/>
      </w:divBdr>
    </w:div>
    <w:div w:id="1624381959">
      <w:bodyDiv w:val="1"/>
      <w:marLeft w:val="0"/>
      <w:marRight w:val="0"/>
      <w:marTop w:val="0"/>
      <w:marBottom w:val="0"/>
      <w:divBdr>
        <w:top w:val="none" w:sz="0" w:space="0" w:color="auto"/>
        <w:left w:val="none" w:sz="0" w:space="0" w:color="auto"/>
        <w:bottom w:val="none" w:sz="0" w:space="0" w:color="auto"/>
        <w:right w:val="none" w:sz="0" w:space="0" w:color="auto"/>
      </w:divBdr>
    </w:div>
    <w:div w:id="1630011616">
      <w:bodyDiv w:val="1"/>
      <w:marLeft w:val="0"/>
      <w:marRight w:val="0"/>
      <w:marTop w:val="0"/>
      <w:marBottom w:val="0"/>
      <w:divBdr>
        <w:top w:val="none" w:sz="0" w:space="0" w:color="auto"/>
        <w:left w:val="none" w:sz="0" w:space="0" w:color="auto"/>
        <w:bottom w:val="none" w:sz="0" w:space="0" w:color="auto"/>
        <w:right w:val="none" w:sz="0" w:space="0" w:color="auto"/>
      </w:divBdr>
    </w:div>
    <w:div w:id="1631521063">
      <w:bodyDiv w:val="1"/>
      <w:marLeft w:val="0"/>
      <w:marRight w:val="0"/>
      <w:marTop w:val="0"/>
      <w:marBottom w:val="0"/>
      <w:divBdr>
        <w:top w:val="none" w:sz="0" w:space="0" w:color="auto"/>
        <w:left w:val="none" w:sz="0" w:space="0" w:color="auto"/>
        <w:bottom w:val="none" w:sz="0" w:space="0" w:color="auto"/>
        <w:right w:val="none" w:sz="0" w:space="0" w:color="auto"/>
      </w:divBdr>
    </w:div>
    <w:div w:id="1632591923">
      <w:bodyDiv w:val="1"/>
      <w:marLeft w:val="0"/>
      <w:marRight w:val="0"/>
      <w:marTop w:val="0"/>
      <w:marBottom w:val="0"/>
      <w:divBdr>
        <w:top w:val="none" w:sz="0" w:space="0" w:color="auto"/>
        <w:left w:val="none" w:sz="0" w:space="0" w:color="auto"/>
        <w:bottom w:val="none" w:sz="0" w:space="0" w:color="auto"/>
        <w:right w:val="none" w:sz="0" w:space="0" w:color="auto"/>
      </w:divBdr>
    </w:div>
    <w:div w:id="1635672023">
      <w:bodyDiv w:val="1"/>
      <w:marLeft w:val="0"/>
      <w:marRight w:val="0"/>
      <w:marTop w:val="0"/>
      <w:marBottom w:val="0"/>
      <w:divBdr>
        <w:top w:val="none" w:sz="0" w:space="0" w:color="auto"/>
        <w:left w:val="none" w:sz="0" w:space="0" w:color="auto"/>
        <w:bottom w:val="none" w:sz="0" w:space="0" w:color="auto"/>
        <w:right w:val="none" w:sz="0" w:space="0" w:color="auto"/>
      </w:divBdr>
    </w:div>
    <w:div w:id="1640308757">
      <w:bodyDiv w:val="1"/>
      <w:marLeft w:val="0"/>
      <w:marRight w:val="0"/>
      <w:marTop w:val="0"/>
      <w:marBottom w:val="0"/>
      <w:divBdr>
        <w:top w:val="none" w:sz="0" w:space="0" w:color="auto"/>
        <w:left w:val="none" w:sz="0" w:space="0" w:color="auto"/>
        <w:bottom w:val="none" w:sz="0" w:space="0" w:color="auto"/>
        <w:right w:val="none" w:sz="0" w:space="0" w:color="auto"/>
      </w:divBdr>
    </w:div>
    <w:div w:id="1644310440">
      <w:bodyDiv w:val="1"/>
      <w:marLeft w:val="0"/>
      <w:marRight w:val="0"/>
      <w:marTop w:val="0"/>
      <w:marBottom w:val="0"/>
      <w:divBdr>
        <w:top w:val="none" w:sz="0" w:space="0" w:color="auto"/>
        <w:left w:val="none" w:sz="0" w:space="0" w:color="auto"/>
        <w:bottom w:val="none" w:sz="0" w:space="0" w:color="auto"/>
        <w:right w:val="none" w:sz="0" w:space="0" w:color="auto"/>
      </w:divBdr>
    </w:div>
    <w:div w:id="1644695398">
      <w:bodyDiv w:val="1"/>
      <w:marLeft w:val="0"/>
      <w:marRight w:val="0"/>
      <w:marTop w:val="0"/>
      <w:marBottom w:val="0"/>
      <w:divBdr>
        <w:top w:val="none" w:sz="0" w:space="0" w:color="auto"/>
        <w:left w:val="none" w:sz="0" w:space="0" w:color="auto"/>
        <w:bottom w:val="none" w:sz="0" w:space="0" w:color="auto"/>
        <w:right w:val="none" w:sz="0" w:space="0" w:color="auto"/>
      </w:divBdr>
    </w:div>
    <w:div w:id="1644700385">
      <w:bodyDiv w:val="1"/>
      <w:marLeft w:val="0"/>
      <w:marRight w:val="0"/>
      <w:marTop w:val="0"/>
      <w:marBottom w:val="0"/>
      <w:divBdr>
        <w:top w:val="none" w:sz="0" w:space="0" w:color="auto"/>
        <w:left w:val="none" w:sz="0" w:space="0" w:color="auto"/>
        <w:bottom w:val="none" w:sz="0" w:space="0" w:color="auto"/>
        <w:right w:val="none" w:sz="0" w:space="0" w:color="auto"/>
      </w:divBdr>
    </w:div>
    <w:div w:id="1650866090">
      <w:bodyDiv w:val="1"/>
      <w:marLeft w:val="0"/>
      <w:marRight w:val="0"/>
      <w:marTop w:val="0"/>
      <w:marBottom w:val="0"/>
      <w:divBdr>
        <w:top w:val="none" w:sz="0" w:space="0" w:color="auto"/>
        <w:left w:val="none" w:sz="0" w:space="0" w:color="auto"/>
        <w:bottom w:val="none" w:sz="0" w:space="0" w:color="auto"/>
        <w:right w:val="none" w:sz="0" w:space="0" w:color="auto"/>
      </w:divBdr>
    </w:div>
    <w:div w:id="1656840772">
      <w:bodyDiv w:val="1"/>
      <w:marLeft w:val="0"/>
      <w:marRight w:val="0"/>
      <w:marTop w:val="0"/>
      <w:marBottom w:val="0"/>
      <w:divBdr>
        <w:top w:val="none" w:sz="0" w:space="0" w:color="auto"/>
        <w:left w:val="none" w:sz="0" w:space="0" w:color="auto"/>
        <w:bottom w:val="none" w:sz="0" w:space="0" w:color="auto"/>
        <w:right w:val="none" w:sz="0" w:space="0" w:color="auto"/>
      </w:divBdr>
    </w:div>
    <w:div w:id="1665162383">
      <w:bodyDiv w:val="1"/>
      <w:marLeft w:val="0"/>
      <w:marRight w:val="0"/>
      <w:marTop w:val="0"/>
      <w:marBottom w:val="0"/>
      <w:divBdr>
        <w:top w:val="none" w:sz="0" w:space="0" w:color="auto"/>
        <w:left w:val="none" w:sz="0" w:space="0" w:color="auto"/>
        <w:bottom w:val="none" w:sz="0" w:space="0" w:color="auto"/>
        <w:right w:val="none" w:sz="0" w:space="0" w:color="auto"/>
      </w:divBdr>
    </w:div>
    <w:div w:id="1670450400">
      <w:bodyDiv w:val="1"/>
      <w:marLeft w:val="0"/>
      <w:marRight w:val="0"/>
      <w:marTop w:val="0"/>
      <w:marBottom w:val="0"/>
      <w:divBdr>
        <w:top w:val="none" w:sz="0" w:space="0" w:color="auto"/>
        <w:left w:val="none" w:sz="0" w:space="0" w:color="auto"/>
        <w:bottom w:val="none" w:sz="0" w:space="0" w:color="auto"/>
        <w:right w:val="none" w:sz="0" w:space="0" w:color="auto"/>
      </w:divBdr>
    </w:div>
    <w:div w:id="1684936675">
      <w:bodyDiv w:val="1"/>
      <w:marLeft w:val="0"/>
      <w:marRight w:val="0"/>
      <w:marTop w:val="0"/>
      <w:marBottom w:val="0"/>
      <w:divBdr>
        <w:top w:val="none" w:sz="0" w:space="0" w:color="auto"/>
        <w:left w:val="none" w:sz="0" w:space="0" w:color="auto"/>
        <w:bottom w:val="none" w:sz="0" w:space="0" w:color="auto"/>
        <w:right w:val="none" w:sz="0" w:space="0" w:color="auto"/>
      </w:divBdr>
    </w:div>
    <w:div w:id="1690831403">
      <w:bodyDiv w:val="1"/>
      <w:marLeft w:val="0"/>
      <w:marRight w:val="0"/>
      <w:marTop w:val="0"/>
      <w:marBottom w:val="0"/>
      <w:divBdr>
        <w:top w:val="none" w:sz="0" w:space="0" w:color="auto"/>
        <w:left w:val="none" w:sz="0" w:space="0" w:color="auto"/>
        <w:bottom w:val="none" w:sz="0" w:space="0" w:color="auto"/>
        <w:right w:val="none" w:sz="0" w:space="0" w:color="auto"/>
      </w:divBdr>
    </w:div>
    <w:div w:id="1697921108">
      <w:bodyDiv w:val="1"/>
      <w:marLeft w:val="0"/>
      <w:marRight w:val="0"/>
      <w:marTop w:val="0"/>
      <w:marBottom w:val="0"/>
      <w:divBdr>
        <w:top w:val="none" w:sz="0" w:space="0" w:color="auto"/>
        <w:left w:val="none" w:sz="0" w:space="0" w:color="auto"/>
        <w:bottom w:val="none" w:sz="0" w:space="0" w:color="auto"/>
        <w:right w:val="none" w:sz="0" w:space="0" w:color="auto"/>
      </w:divBdr>
    </w:div>
    <w:div w:id="1698771839">
      <w:bodyDiv w:val="1"/>
      <w:marLeft w:val="0"/>
      <w:marRight w:val="0"/>
      <w:marTop w:val="0"/>
      <w:marBottom w:val="0"/>
      <w:divBdr>
        <w:top w:val="none" w:sz="0" w:space="0" w:color="auto"/>
        <w:left w:val="none" w:sz="0" w:space="0" w:color="auto"/>
        <w:bottom w:val="none" w:sz="0" w:space="0" w:color="auto"/>
        <w:right w:val="none" w:sz="0" w:space="0" w:color="auto"/>
      </w:divBdr>
    </w:div>
    <w:div w:id="1703557939">
      <w:bodyDiv w:val="1"/>
      <w:marLeft w:val="0"/>
      <w:marRight w:val="0"/>
      <w:marTop w:val="0"/>
      <w:marBottom w:val="0"/>
      <w:divBdr>
        <w:top w:val="none" w:sz="0" w:space="0" w:color="auto"/>
        <w:left w:val="none" w:sz="0" w:space="0" w:color="auto"/>
        <w:bottom w:val="none" w:sz="0" w:space="0" w:color="auto"/>
        <w:right w:val="none" w:sz="0" w:space="0" w:color="auto"/>
      </w:divBdr>
    </w:div>
    <w:div w:id="1705716874">
      <w:bodyDiv w:val="1"/>
      <w:marLeft w:val="0"/>
      <w:marRight w:val="0"/>
      <w:marTop w:val="0"/>
      <w:marBottom w:val="0"/>
      <w:divBdr>
        <w:top w:val="none" w:sz="0" w:space="0" w:color="auto"/>
        <w:left w:val="none" w:sz="0" w:space="0" w:color="auto"/>
        <w:bottom w:val="none" w:sz="0" w:space="0" w:color="auto"/>
        <w:right w:val="none" w:sz="0" w:space="0" w:color="auto"/>
      </w:divBdr>
    </w:div>
    <w:div w:id="1707094853">
      <w:bodyDiv w:val="1"/>
      <w:marLeft w:val="0"/>
      <w:marRight w:val="0"/>
      <w:marTop w:val="0"/>
      <w:marBottom w:val="0"/>
      <w:divBdr>
        <w:top w:val="none" w:sz="0" w:space="0" w:color="auto"/>
        <w:left w:val="none" w:sz="0" w:space="0" w:color="auto"/>
        <w:bottom w:val="none" w:sz="0" w:space="0" w:color="auto"/>
        <w:right w:val="none" w:sz="0" w:space="0" w:color="auto"/>
      </w:divBdr>
    </w:div>
    <w:div w:id="1707876553">
      <w:bodyDiv w:val="1"/>
      <w:marLeft w:val="0"/>
      <w:marRight w:val="0"/>
      <w:marTop w:val="0"/>
      <w:marBottom w:val="0"/>
      <w:divBdr>
        <w:top w:val="none" w:sz="0" w:space="0" w:color="auto"/>
        <w:left w:val="none" w:sz="0" w:space="0" w:color="auto"/>
        <w:bottom w:val="none" w:sz="0" w:space="0" w:color="auto"/>
        <w:right w:val="none" w:sz="0" w:space="0" w:color="auto"/>
      </w:divBdr>
    </w:div>
    <w:div w:id="1709523253">
      <w:bodyDiv w:val="1"/>
      <w:marLeft w:val="0"/>
      <w:marRight w:val="0"/>
      <w:marTop w:val="0"/>
      <w:marBottom w:val="0"/>
      <w:divBdr>
        <w:top w:val="none" w:sz="0" w:space="0" w:color="auto"/>
        <w:left w:val="none" w:sz="0" w:space="0" w:color="auto"/>
        <w:bottom w:val="none" w:sz="0" w:space="0" w:color="auto"/>
        <w:right w:val="none" w:sz="0" w:space="0" w:color="auto"/>
      </w:divBdr>
    </w:div>
    <w:div w:id="1718238849">
      <w:bodyDiv w:val="1"/>
      <w:marLeft w:val="0"/>
      <w:marRight w:val="0"/>
      <w:marTop w:val="0"/>
      <w:marBottom w:val="0"/>
      <w:divBdr>
        <w:top w:val="none" w:sz="0" w:space="0" w:color="auto"/>
        <w:left w:val="none" w:sz="0" w:space="0" w:color="auto"/>
        <w:bottom w:val="none" w:sz="0" w:space="0" w:color="auto"/>
        <w:right w:val="none" w:sz="0" w:space="0" w:color="auto"/>
      </w:divBdr>
    </w:div>
    <w:div w:id="1718386364">
      <w:bodyDiv w:val="1"/>
      <w:marLeft w:val="0"/>
      <w:marRight w:val="0"/>
      <w:marTop w:val="0"/>
      <w:marBottom w:val="0"/>
      <w:divBdr>
        <w:top w:val="none" w:sz="0" w:space="0" w:color="auto"/>
        <w:left w:val="none" w:sz="0" w:space="0" w:color="auto"/>
        <w:bottom w:val="none" w:sz="0" w:space="0" w:color="auto"/>
        <w:right w:val="none" w:sz="0" w:space="0" w:color="auto"/>
      </w:divBdr>
    </w:div>
    <w:div w:id="1720781520">
      <w:bodyDiv w:val="1"/>
      <w:marLeft w:val="0"/>
      <w:marRight w:val="0"/>
      <w:marTop w:val="0"/>
      <w:marBottom w:val="0"/>
      <w:divBdr>
        <w:top w:val="none" w:sz="0" w:space="0" w:color="auto"/>
        <w:left w:val="none" w:sz="0" w:space="0" w:color="auto"/>
        <w:bottom w:val="none" w:sz="0" w:space="0" w:color="auto"/>
        <w:right w:val="none" w:sz="0" w:space="0" w:color="auto"/>
      </w:divBdr>
    </w:div>
    <w:div w:id="1722901435">
      <w:bodyDiv w:val="1"/>
      <w:marLeft w:val="0"/>
      <w:marRight w:val="0"/>
      <w:marTop w:val="0"/>
      <w:marBottom w:val="0"/>
      <w:divBdr>
        <w:top w:val="none" w:sz="0" w:space="0" w:color="auto"/>
        <w:left w:val="none" w:sz="0" w:space="0" w:color="auto"/>
        <w:bottom w:val="none" w:sz="0" w:space="0" w:color="auto"/>
        <w:right w:val="none" w:sz="0" w:space="0" w:color="auto"/>
      </w:divBdr>
    </w:div>
    <w:div w:id="1725251892">
      <w:bodyDiv w:val="1"/>
      <w:marLeft w:val="0"/>
      <w:marRight w:val="0"/>
      <w:marTop w:val="0"/>
      <w:marBottom w:val="0"/>
      <w:divBdr>
        <w:top w:val="none" w:sz="0" w:space="0" w:color="auto"/>
        <w:left w:val="none" w:sz="0" w:space="0" w:color="auto"/>
        <w:bottom w:val="none" w:sz="0" w:space="0" w:color="auto"/>
        <w:right w:val="none" w:sz="0" w:space="0" w:color="auto"/>
      </w:divBdr>
    </w:div>
    <w:div w:id="1730573820">
      <w:bodyDiv w:val="1"/>
      <w:marLeft w:val="0"/>
      <w:marRight w:val="0"/>
      <w:marTop w:val="0"/>
      <w:marBottom w:val="0"/>
      <w:divBdr>
        <w:top w:val="none" w:sz="0" w:space="0" w:color="auto"/>
        <w:left w:val="none" w:sz="0" w:space="0" w:color="auto"/>
        <w:bottom w:val="none" w:sz="0" w:space="0" w:color="auto"/>
        <w:right w:val="none" w:sz="0" w:space="0" w:color="auto"/>
      </w:divBdr>
    </w:div>
    <w:div w:id="1731879525">
      <w:bodyDiv w:val="1"/>
      <w:marLeft w:val="0"/>
      <w:marRight w:val="0"/>
      <w:marTop w:val="0"/>
      <w:marBottom w:val="0"/>
      <w:divBdr>
        <w:top w:val="none" w:sz="0" w:space="0" w:color="auto"/>
        <w:left w:val="none" w:sz="0" w:space="0" w:color="auto"/>
        <w:bottom w:val="none" w:sz="0" w:space="0" w:color="auto"/>
        <w:right w:val="none" w:sz="0" w:space="0" w:color="auto"/>
      </w:divBdr>
    </w:div>
    <w:div w:id="1734038518">
      <w:bodyDiv w:val="1"/>
      <w:marLeft w:val="0"/>
      <w:marRight w:val="0"/>
      <w:marTop w:val="0"/>
      <w:marBottom w:val="0"/>
      <w:divBdr>
        <w:top w:val="none" w:sz="0" w:space="0" w:color="auto"/>
        <w:left w:val="none" w:sz="0" w:space="0" w:color="auto"/>
        <w:bottom w:val="none" w:sz="0" w:space="0" w:color="auto"/>
        <w:right w:val="none" w:sz="0" w:space="0" w:color="auto"/>
      </w:divBdr>
    </w:div>
    <w:div w:id="1735618028">
      <w:bodyDiv w:val="1"/>
      <w:marLeft w:val="0"/>
      <w:marRight w:val="0"/>
      <w:marTop w:val="0"/>
      <w:marBottom w:val="0"/>
      <w:divBdr>
        <w:top w:val="none" w:sz="0" w:space="0" w:color="auto"/>
        <w:left w:val="none" w:sz="0" w:space="0" w:color="auto"/>
        <w:bottom w:val="none" w:sz="0" w:space="0" w:color="auto"/>
        <w:right w:val="none" w:sz="0" w:space="0" w:color="auto"/>
      </w:divBdr>
    </w:div>
    <w:div w:id="1737588395">
      <w:bodyDiv w:val="1"/>
      <w:marLeft w:val="0"/>
      <w:marRight w:val="0"/>
      <w:marTop w:val="0"/>
      <w:marBottom w:val="0"/>
      <w:divBdr>
        <w:top w:val="none" w:sz="0" w:space="0" w:color="auto"/>
        <w:left w:val="none" w:sz="0" w:space="0" w:color="auto"/>
        <w:bottom w:val="none" w:sz="0" w:space="0" w:color="auto"/>
        <w:right w:val="none" w:sz="0" w:space="0" w:color="auto"/>
      </w:divBdr>
    </w:div>
    <w:div w:id="1749377157">
      <w:bodyDiv w:val="1"/>
      <w:marLeft w:val="0"/>
      <w:marRight w:val="0"/>
      <w:marTop w:val="0"/>
      <w:marBottom w:val="0"/>
      <w:divBdr>
        <w:top w:val="none" w:sz="0" w:space="0" w:color="auto"/>
        <w:left w:val="none" w:sz="0" w:space="0" w:color="auto"/>
        <w:bottom w:val="none" w:sz="0" w:space="0" w:color="auto"/>
        <w:right w:val="none" w:sz="0" w:space="0" w:color="auto"/>
      </w:divBdr>
    </w:div>
    <w:div w:id="1749571954">
      <w:bodyDiv w:val="1"/>
      <w:marLeft w:val="0"/>
      <w:marRight w:val="0"/>
      <w:marTop w:val="0"/>
      <w:marBottom w:val="0"/>
      <w:divBdr>
        <w:top w:val="none" w:sz="0" w:space="0" w:color="auto"/>
        <w:left w:val="none" w:sz="0" w:space="0" w:color="auto"/>
        <w:bottom w:val="none" w:sz="0" w:space="0" w:color="auto"/>
        <w:right w:val="none" w:sz="0" w:space="0" w:color="auto"/>
      </w:divBdr>
    </w:div>
    <w:div w:id="1752896117">
      <w:bodyDiv w:val="1"/>
      <w:marLeft w:val="0"/>
      <w:marRight w:val="0"/>
      <w:marTop w:val="0"/>
      <w:marBottom w:val="0"/>
      <w:divBdr>
        <w:top w:val="none" w:sz="0" w:space="0" w:color="auto"/>
        <w:left w:val="none" w:sz="0" w:space="0" w:color="auto"/>
        <w:bottom w:val="none" w:sz="0" w:space="0" w:color="auto"/>
        <w:right w:val="none" w:sz="0" w:space="0" w:color="auto"/>
      </w:divBdr>
    </w:div>
    <w:div w:id="1770352130">
      <w:bodyDiv w:val="1"/>
      <w:marLeft w:val="0"/>
      <w:marRight w:val="0"/>
      <w:marTop w:val="0"/>
      <w:marBottom w:val="0"/>
      <w:divBdr>
        <w:top w:val="none" w:sz="0" w:space="0" w:color="auto"/>
        <w:left w:val="none" w:sz="0" w:space="0" w:color="auto"/>
        <w:bottom w:val="none" w:sz="0" w:space="0" w:color="auto"/>
        <w:right w:val="none" w:sz="0" w:space="0" w:color="auto"/>
      </w:divBdr>
    </w:div>
    <w:div w:id="1782456352">
      <w:bodyDiv w:val="1"/>
      <w:marLeft w:val="0"/>
      <w:marRight w:val="0"/>
      <w:marTop w:val="0"/>
      <w:marBottom w:val="0"/>
      <w:divBdr>
        <w:top w:val="none" w:sz="0" w:space="0" w:color="auto"/>
        <w:left w:val="none" w:sz="0" w:space="0" w:color="auto"/>
        <w:bottom w:val="none" w:sz="0" w:space="0" w:color="auto"/>
        <w:right w:val="none" w:sz="0" w:space="0" w:color="auto"/>
      </w:divBdr>
    </w:div>
    <w:div w:id="1786193012">
      <w:bodyDiv w:val="1"/>
      <w:marLeft w:val="0"/>
      <w:marRight w:val="0"/>
      <w:marTop w:val="0"/>
      <w:marBottom w:val="0"/>
      <w:divBdr>
        <w:top w:val="none" w:sz="0" w:space="0" w:color="auto"/>
        <w:left w:val="none" w:sz="0" w:space="0" w:color="auto"/>
        <w:bottom w:val="none" w:sz="0" w:space="0" w:color="auto"/>
        <w:right w:val="none" w:sz="0" w:space="0" w:color="auto"/>
      </w:divBdr>
    </w:div>
    <w:div w:id="1786581988">
      <w:bodyDiv w:val="1"/>
      <w:marLeft w:val="0"/>
      <w:marRight w:val="0"/>
      <w:marTop w:val="0"/>
      <w:marBottom w:val="0"/>
      <w:divBdr>
        <w:top w:val="none" w:sz="0" w:space="0" w:color="auto"/>
        <w:left w:val="none" w:sz="0" w:space="0" w:color="auto"/>
        <w:bottom w:val="none" w:sz="0" w:space="0" w:color="auto"/>
        <w:right w:val="none" w:sz="0" w:space="0" w:color="auto"/>
      </w:divBdr>
    </w:div>
    <w:div w:id="1787233155">
      <w:bodyDiv w:val="1"/>
      <w:marLeft w:val="0"/>
      <w:marRight w:val="0"/>
      <w:marTop w:val="0"/>
      <w:marBottom w:val="0"/>
      <w:divBdr>
        <w:top w:val="none" w:sz="0" w:space="0" w:color="auto"/>
        <w:left w:val="none" w:sz="0" w:space="0" w:color="auto"/>
        <w:bottom w:val="none" w:sz="0" w:space="0" w:color="auto"/>
        <w:right w:val="none" w:sz="0" w:space="0" w:color="auto"/>
      </w:divBdr>
    </w:div>
    <w:div w:id="1792357006">
      <w:bodyDiv w:val="1"/>
      <w:marLeft w:val="0"/>
      <w:marRight w:val="0"/>
      <w:marTop w:val="0"/>
      <w:marBottom w:val="0"/>
      <w:divBdr>
        <w:top w:val="none" w:sz="0" w:space="0" w:color="auto"/>
        <w:left w:val="none" w:sz="0" w:space="0" w:color="auto"/>
        <w:bottom w:val="none" w:sz="0" w:space="0" w:color="auto"/>
        <w:right w:val="none" w:sz="0" w:space="0" w:color="auto"/>
      </w:divBdr>
    </w:div>
    <w:div w:id="1803159355">
      <w:bodyDiv w:val="1"/>
      <w:marLeft w:val="0"/>
      <w:marRight w:val="0"/>
      <w:marTop w:val="0"/>
      <w:marBottom w:val="0"/>
      <w:divBdr>
        <w:top w:val="none" w:sz="0" w:space="0" w:color="auto"/>
        <w:left w:val="none" w:sz="0" w:space="0" w:color="auto"/>
        <w:bottom w:val="none" w:sz="0" w:space="0" w:color="auto"/>
        <w:right w:val="none" w:sz="0" w:space="0" w:color="auto"/>
      </w:divBdr>
    </w:div>
    <w:div w:id="1804736986">
      <w:bodyDiv w:val="1"/>
      <w:marLeft w:val="0"/>
      <w:marRight w:val="0"/>
      <w:marTop w:val="0"/>
      <w:marBottom w:val="0"/>
      <w:divBdr>
        <w:top w:val="none" w:sz="0" w:space="0" w:color="auto"/>
        <w:left w:val="none" w:sz="0" w:space="0" w:color="auto"/>
        <w:bottom w:val="none" w:sz="0" w:space="0" w:color="auto"/>
        <w:right w:val="none" w:sz="0" w:space="0" w:color="auto"/>
      </w:divBdr>
    </w:div>
    <w:div w:id="1805078355">
      <w:bodyDiv w:val="1"/>
      <w:marLeft w:val="0"/>
      <w:marRight w:val="0"/>
      <w:marTop w:val="0"/>
      <w:marBottom w:val="0"/>
      <w:divBdr>
        <w:top w:val="none" w:sz="0" w:space="0" w:color="auto"/>
        <w:left w:val="none" w:sz="0" w:space="0" w:color="auto"/>
        <w:bottom w:val="none" w:sz="0" w:space="0" w:color="auto"/>
        <w:right w:val="none" w:sz="0" w:space="0" w:color="auto"/>
      </w:divBdr>
    </w:div>
    <w:div w:id="1805468217">
      <w:bodyDiv w:val="1"/>
      <w:marLeft w:val="0"/>
      <w:marRight w:val="0"/>
      <w:marTop w:val="0"/>
      <w:marBottom w:val="0"/>
      <w:divBdr>
        <w:top w:val="none" w:sz="0" w:space="0" w:color="auto"/>
        <w:left w:val="none" w:sz="0" w:space="0" w:color="auto"/>
        <w:bottom w:val="none" w:sz="0" w:space="0" w:color="auto"/>
        <w:right w:val="none" w:sz="0" w:space="0" w:color="auto"/>
      </w:divBdr>
    </w:div>
    <w:div w:id="1810438218">
      <w:bodyDiv w:val="1"/>
      <w:marLeft w:val="0"/>
      <w:marRight w:val="0"/>
      <w:marTop w:val="0"/>
      <w:marBottom w:val="0"/>
      <w:divBdr>
        <w:top w:val="none" w:sz="0" w:space="0" w:color="auto"/>
        <w:left w:val="none" w:sz="0" w:space="0" w:color="auto"/>
        <w:bottom w:val="none" w:sz="0" w:space="0" w:color="auto"/>
        <w:right w:val="none" w:sz="0" w:space="0" w:color="auto"/>
      </w:divBdr>
    </w:div>
    <w:div w:id="1815633068">
      <w:bodyDiv w:val="1"/>
      <w:marLeft w:val="0"/>
      <w:marRight w:val="0"/>
      <w:marTop w:val="0"/>
      <w:marBottom w:val="0"/>
      <w:divBdr>
        <w:top w:val="none" w:sz="0" w:space="0" w:color="auto"/>
        <w:left w:val="none" w:sz="0" w:space="0" w:color="auto"/>
        <w:bottom w:val="none" w:sz="0" w:space="0" w:color="auto"/>
        <w:right w:val="none" w:sz="0" w:space="0" w:color="auto"/>
      </w:divBdr>
    </w:div>
    <w:div w:id="1818717361">
      <w:bodyDiv w:val="1"/>
      <w:marLeft w:val="0"/>
      <w:marRight w:val="0"/>
      <w:marTop w:val="0"/>
      <w:marBottom w:val="0"/>
      <w:divBdr>
        <w:top w:val="none" w:sz="0" w:space="0" w:color="auto"/>
        <w:left w:val="none" w:sz="0" w:space="0" w:color="auto"/>
        <w:bottom w:val="none" w:sz="0" w:space="0" w:color="auto"/>
        <w:right w:val="none" w:sz="0" w:space="0" w:color="auto"/>
      </w:divBdr>
    </w:div>
    <w:div w:id="1824925614">
      <w:bodyDiv w:val="1"/>
      <w:marLeft w:val="0"/>
      <w:marRight w:val="0"/>
      <w:marTop w:val="0"/>
      <w:marBottom w:val="0"/>
      <w:divBdr>
        <w:top w:val="none" w:sz="0" w:space="0" w:color="auto"/>
        <w:left w:val="none" w:sz="0" w:space="0" w:color="auto"/>
        <w:bottom w:val="none" w:sz="0" w:space="0" w:color="auto"/>
        <w:right w:val="none" w:sz="0" w:space="0" w:color="auto"/>
      </w:divBdr>
    </w:div>
    <w:div w:id="1831285894">
      <w:bodyDiv w:val="1"/>
      <w:marLeft w:val="0"/>
      <w:marRight w:val="0"/>
      <w:marTop w:val="0"/>
      <w:marBottom w:val="0"/>
      <w:divBdr>
        <w:top w:val="none" w:sz="0" w:space="0" w:color="auto"/>
        <w:left w:val="none" w:sz="0" w:space="0" w:color="auto"/>
        <w:bottom w:val="none" w:sz="0" w:space="0" w:color="auto"/>
        <w:right w:val="none" w:sz="0" w:space="0" w:color="auto"/>
      </w:divBdr>
    </w:div>
    <w:div w:id="1832141693">
      <w:bodyDiv w:val="1"/>
      <w:marLeft w:val="0"/>
      <w:marRight w:val="0"/>
      <w:marTop w:val="0"/>
      <w:marBottom w:val="0"/>
      <w:divBdr>
        <w:top w:val="none" w:sz="0" w:space="0" w:color="auto"/>
        <w:left w:val="none" w:sz="0" w:space="0" w:color="auto"/>
        <w:bottom w:val="none" w:sz="0" w:space="0" w:color="auto"/>
        <w:right w:val="none" w:sz="0" w:space="0" w:color="auto"/>
      </w:divBdr>
    </w:div>
    <w:div w:id="1840271134">
      <w:bodyDiv w:val="1"/>
      <w:marLeft w:val="0"/>
      <w:marRight w:val="0"/>
      <w:marTop w:val="0"/>
      <w:marBottom w:val="0"/>
      <w:divBdr>
        <w:top w:val="none" w:sz="0" w:space="0" w:color="auto"/>
        <w:left w:val="none" w:sz="0" w:space="0" w:color="auto"/>
        <w:bottom w:val="none" w:sz="0" w:space="0" w:color="auto"/>
        <w:right w:val="none" w:sz="0" w:space="0" w:color="auto"/>
      </w:divBdr>
    </w:div>
    <w:div w:id="1847861092">
      <w:bodyDiv w:val="1"/>
      <w:marLeft w:val="0"/>
      <w:marRight w:val="0"/>
      <w:marTop w:val="0"/>
      <w:marBottom w:val="0"/>
      <w:divBdr>
        <w:top w:val="none" w:sz="0" w:space="0" w:color="auto"/>
        <w:left w:val="none" w:sz="0" w:space="0" w:color="auto"/>
        <w:bottom w:val="none" w:sz="0" w:space="0" w:color="auto"/>
        <w:right w:val="none" w:sz="0" w:space="0" w:color="auto"/>
      </w:divBdr>
    </w:div>
    <w:div w:id="1848863238">
      <w:bodyDiv w:val="1"/>
      <w:marLeft w:val="0"/>
      <w:marRight w:val="0"/>
      <w:marTop w:val="0"/>
      <w:marBottom w:val="0"/>
      <w:divBdr>
        <w:top w:val="none" w:sz="0" w:space="0" w:color="auto"/>
        <w:left w:val="none" w:sz="0" w:space="0" w:color="auto"/>
        <w:bottom w:val="none" w:sz="0" w:space="0" w:color="auto"/>
        <w:right w:val="none" w:sz="0" w:space="0" w:color="auto"/>
      </w:divBdr>
    </w:div>
    <w:div w:id="1862360069">
      <w:bodyDiv w:val="1"/>
      <w:marLeft w:val="0"/>
      <w:marRight w:val="0"/>
      <w:marTop w:val="0"/>
      <w:marBottom w:val="0"/>
      <w:divBdr>
        <w:top w:val="none" w:sz="0" w:space="0" w:color="auto"/>
        <w:left w:val="none" w:sz="0" w:space="0" w:color="auto"/>
        <w:bottom w:val="none" w:sz="0" w:space="0" w:color="auto"/>
        <w:right w:val="none" w:sz="0" w:space="0" w:color="auto"/>
      </w:divBdr>
    </w:div>
    <w:div w:id="1863007658">
      <w:bodyDiv w:val="1"/>
      <w:marLeft w:val="0"/>
      <w:marRight w:val="0"/>
      <w:marTop w:val="0"/>
      <w:marBottom w:val="0"/>
      <w:divBdr>
        <w:top w:val="none" w:sz="0" w:space="0" w:color="auto"/>
        <w:left w:val="none" w:sz="0" w:space="0" w:color="auto"/>
        <w:bottom w:val="none" w:sz="0" w:space="0" w:color="auto"/>
        <w:right w:val="none" w:sz="0" w:space="0" w:color="auto"/>
      </w:divBdr>
    </w:div>
    <w:div w:id="1876572873">
      <w:bodyDiv w:val="1"/>
      <w:marLeft w:val="0"/>
      <w:marRight w:val="0"/>
      <w:marTop w:val="0"/>
      <w:marBottom w:val="0"/>
      <w:divBdr>
        <w:top w:val="none" w:sz="0" w:space="0" w:color="auto"/>
        <w:left w:val="none" w:sz="0" w:space="0" w:color="auto"/>
        <w:bottom w:val="none" w:sz="0" w:space="0" w:color="auto"/>
        <w:right w:val="none" w:sz="0" w:space="0" w:color="auto"/>
      </w:divBdr>
    </w:div>
    <w:div w:id="1881701845">
      <w:bodyDiv w:val="1"/>
      <w:marLeft w:val="0"/>
      <w:marRight w:val="0"/>
      <w:marTop w:val="0"/>
      <w:marBottom w:val="0"/>
      <w:divBdr>
        <w:top w:val="none" w:sz="0" w:space="0" w:color="auto"/>
        <w:left w:val="none" w:sz="0" w:space="0" w:color="auto"/>
        <w:bottom w:val="none" w:sz="0" w:space="0" w:color="auto"/>
        <w:right w:val="none" w:sz="0" w:space="0" w:color="auto"/>
      </w:divBdr>
    </w:div>
    <w:div w:id="1885554824">
      <w:bodyDiv w:val="1"/>
      <w:marLeft w:val="0"/>
      <w:marRight w:val="0"/>
      <w:marTop w:val="0"/>
      <w:marBottom w:val="0"/>
      <w:divBdr>
        <w:top w:val="none" w:sz="0" w:space="0" w:color="auto"/>
        <w:left w:val="none" w:sz="0" w:space="0" w:color="auto"/>
        <w:bottom w:val="none" w:sz="0" w:space="0" w:color="auto"/>
        <w:right w:val="none" w:sz="0" w:space="0" w:color="auto"/>
      </w:divBdr>
    </w:div>
    <w:div w:id="1890797292">
      <w:bodyDiv w:val="1"/>
      <w:marLeft w:val="0"/>
      <w:marRight w:val="0"/>
      <w:marTop w:val="0"/>
      <w:marBottom w:val="0"/>
      <w:divBdr>
        <w:top w:val="none" w:sz="0" w:space="0" w:color="auto"/>
        <w:left w:val="none" w:sz="0" w:space="0" w:color="auto"/>
        <w:bottom w:val="none" w:sz="0" w:space="0" w:color="auto"/>
        <w:right w:val="none" w:sz="0" w:space="0" w:color="auto"/>
      </w:divBdr>
    </w:div>
    <w:div w:id="1891187919">
      <w:bodyDiv w:val="1"/>
      <w:marLeft w:val="0"/>
      <w:marRight w:val="0"/>
      <w:marTop w:val="0"/>
      <w:marBottom w:val="0"/>
      <w:divBdr>
        <w:top w:val="none" w:sz="0" w:space="0" w:color="auto"/>
        <w:left w:val="none" w:sz="0" w:space="0" w:color="auto"/>
        <w:bottom w:val="none" w:sz="0" w:space="0" w:color="auto"/>
        <w:right w:val="none" w:sz="0" w:space="0" w:color="auto"/>
      </w:divBdr>
    </w:div>
    <w:div w:id="1897081118">
      <w:bodyDiv w:val="1"/>
      <w:marLeft w:val="0"/>
      <w:marRight w:val="0"/>
      <w:marTop w:val="0"/>
      <w:marBottom w:val="0"/>
      <w:divBdr>
        <w:top w:val="none" w:sz="0" w:space="0" w:color="auto"/>
        <w:left w:val="none" w:sz="0" w:space="0" w:color="auto"/>
        <w:bottom w:val="none" w:sz="0" w:space="0" w:color="auto"/>
        <w:right w:val="none" w:sz="0" w:space="0" w:color="auto"/>
      </w:divBdr>
    </w:div>
    <w:div w:id="1897082322">
      <w:bodyDiv w:val="1"/>
      <w:marLeft w:val="0"/>
      <w:marRight w:val="0"/>
      <w:marTop w:val="0"/>
      <w:marBottom w:val="0"/>
      <w:divBdr>
        <w:top w:val="none" w:sz="0" w:space="0" w:color="auto"/>
        <w:left w:val="none" w:sz="0" w:space="0" w:color="auto"/>
        <w:bottom w:val="none" w:sz="0" w:space="0" w:color="auto"/>
        <w:right w:val="none" w:sz="0" w:space="0" w:color="auto"/>
      </w:divBdr>
    </w:div>
    <w:div w:id="1904294324">
      <w:bodyDiv w:val="1"/>
      <w:marLeft w:val="0"/>
      <w:marRight w:val="0"/>
      <w:marTop w:val="0"/>
      <w:marBottom w:val="0"/>
      <w:divBdr>
        <w:top w:val="none" w:sz="0" w:space="0" w:color="auto"/>
        <w:left w:val="none" w:sz="0" w:space="0" w:color="auto"/>
        <w:bottom w:val="none" w:sz="0" w:space="0" w:color="auto"/>
        <w:right w:val="none" w:sz="0" w:space="0" w:color="auto"/>
      </w:divBdr>
    </w:div>
    <w:div w:id="1914317732">
      <w:bodyDiv w:val="1"/>
      <w:marLeft w:val="0"/>
      <w:marRight w:val="0"/>
      <w:marTop w:val="0"/>
      <w:marBottom w:val="0"/>
      <w:divBdr>
        <w:top w:val="none" w:sz="0" w:space="0" w:color="auto"/>
        <w:left w:val="none" w:sz="0" w:space="0" w:color="auto"/>
        <w:bottom w:val="none" w:sz="0" w:space="0" w:color="auto"/>
        <w:right w:val="none" w:sz="0" w:space="0" w:color="auto"/>
      </w:divBdr>
    </w:div>
    <w:div w:id="1914729246">
      <w:bodyDiv w:val="1"/>
      <w:marLeft w:val="0"/>
      <w:marRight w:val="0"/>
      <w:marTop w:val="0"/>
      <w:marBottom w:val="0"/>
      <w:divBdr>
        <w:top w:val="none" w:sz="0" w:space="0" w:color="auto"/>
        <w:left w:val="none" w:sz="0" w:space="0" w:color="auto"/>
        <w:bottom w:val="none" w:sz="0" w:space="0" w:color="auto"/>
        <w:right w:val="none" w:sz="0" w:space="0" w:color="auto"/>
      </w:divBdr>
    </w:div>
    <w:div w:id="1916435138">
      <w:bodyDiv w:val="1"/>
      <w:marLeft w:val="0"/>
      <w:marRight w:val="0"/>
      <w:marTop w:val="0"/>
      <w:marBottom w:val="0"/>
      <w:divBdr>
        <w:top w:val="none" w:sz="0" w:space="0" w:color="auto"/>
        <w:left w:val="none" w:sz="0" w:space="0" w:color="auto"/>
        <w:bottom w:val="none" w:sz="0" w:space="0" w:color="auto"/>
        <w:right w:val="none" w:sz="0" w:space="0" w:color="auto"/>
      </w:divBdr>
    </w:div>
    <w:div w:id="1922370672">
      <w:bodyDiv w:val="1"/>
      <w:marLeft w:val="0"/>
      <w:marRight w:val="0"/>
      <w:marTop w:val="0"/>
      <w:marBottom w:val="0"/>
      <w:divBdr>
        <w:top w:val="none" w:sz="0" w:space="0" w:color="auto"/>
        <w:left w:val="none" w:sz="0" w:space="0" w:color="auto"/>
        <w:bottom w:val="none" w:sz="0" w:space="0" w:color="auto"/>
        <w:right w:val="none" w:sz="0" w:space="0" w:color="auto"/>
      </w:divBdr>
    </w:div>
    <w:div w:id="1922788085">
      <w:bodyDiv w:val="1"/>
      <w:marLeft w:val="0"/>
      <w:marRight w:val="0"/>
      <w:marTop w:val="0"/>
      <w:marBottom w:val="0"/>
      <w:divBdr>
        <w:top w:val="none" w:sz="0" w:space="0" w:color="auto"/>
        <w:left w:val="none" w:sz="0" w:space="0" w:color="auto"/>
        <w:bottom w:val="none" w:sz="0" w:space="0" w:color="auto"/>
        <w:right w:val="none" w:sz="0" w:space="0" w:color="auto"/>
      </w:divBdr>
    </w:div>
    <w:div w:id="1923683534">
      <w:bodyDiv w:val="1"/>
      <w:marLeft w:val="0"/>
      <w:marRight w:val="0"/>
      <w:marTop w:val="0"/>
      <w:marBottom w:val="0"/>
      <w:divBdr>
        <w:top w:val="none" w:sz="0" w:space="0" w:color="auto"/>
        <w:left w:val="none" w:sz="0" w:space="0" w:color="auto"/>
        <w:bottom w:val="none" w:sz="0" w:space="0" w:color="auto"/>
        <w:right w:val="none" w:sz="0" w:space="0" w:color="auto"/>
      </w:divBdr>
    </w:div>
    <w:div w:id="1925333000">
      <w:bodyDiv w:val="1"/>
      <w:marLeft w:val="0"/>
      <w:marRight w:val="0"/>
      <w:marTop w:val="0"/>
      <w:marBottom w:val="0"/>
      <w:divBdr>
        <w:top w:val="none" w:sz="0" w:space="0" w:color="auto"/>
        <w:left w:val="none" w:sz="0" w:space="0" w:color="auto"/>
        <w:bottom w:val="none" w:sz="0" w:space="0" w:color="auto"/>
        <w:right w:val="none" w:sz="0" w:space="0" w:color="auto"/>
      </w:divBdr>
    </w:div>
    <w:div w:id="1930456259">
      <w:bodyDiv w:val="1"/>
      <w:marLeft w:val="0"/>
      <w:marRight w:val="0"/>
      <w:marTop w:val="0"/>
      <w:marBottom w:val="0"/>
      <w:divBdr>
        <w:top w:val="none" w:sz="0" w:space="0" w:color="auto"/>
        <w:left w:val="none" w:sz="0" w:space="0" w:color="auto"/>
        <w:bottom w:val="none" w:sz="0" w:space="0" w:color="auto"/>
        <w:right w:val="none" w:sz="0" w:space="0" w:color="auto"/>
      </w:divBdr>
    </w:div>
    <w:div w:id="1936937696">
      <w:bodyDiv w:val="1"/>
      <w:marLeft w:val="0"/>
      <w:marRight w:val="0"/>
      <w:marTop w:val="0"/>
      <w:marBottom w:val="0"/>
      <w:divBdr>
        <w:top w:val="none" w:sz="0" w:space="0" w:color="auto"/>
        <w:left w:val="none" w:sz="0" w:space="0" w:color="auto"/>
        <w:bottom w:val="none" w:sz="0" w:space="0" w:color="auto"/>
        <w:right w:val="none" w:sz="0" w:space="0" w:color="auto"/>
      </w:divBdr>
    </w:div>
    <w:div w:id="1955479409">
      <w:bodyDiv w:val="1"/>
      <w:marLeft w:val="0"/>
      <w:marRight w:val="0"/>
      <w:marTop w:val="0"/>
      <w:marBottom w:val="0"/>
      <w:divBdr>
        <w:top w:val="none" w:sz="0" w:space="0" w:color="auto"/>
        <w:left w:val="none" w:sz="0" w:space="0" w:color="auto"/>
        <w:bottom w:val="none" w:sz="0" w:space="0" w:color="auto"/>
        <w:right w:val="none" w:sz="0" w:space="0" w:color="auto"/>
      </w:divBdr>
    </w:div>
    <w:div w:id="1956982717">
      <w:bodyDiv w:val="1"/>
      <w:marLeft w:val="0"/>
      <w:marRight w:val="0"/>
      <w:marTop w:val="0"/>
      <w:marBottom w:val="0"/>
      <w:divBdr>
        <w:top w:val="none" w:sz="0" w:space="0" w:color="auto"/>
        <w:left w:val="none" w:sz="0" w:space="0" w:color="auto"/>
        <w:bottom w:val="none" w:sz="0" w:space="0" w:color="auto"/>
        <w:right w:val="none" w:sz="0" w:space="0" w:color="auto"/>
      </w:divBdr>
    </w:div>
    <w:div w:id="1966496694">
      <w:bodyDiv w:val="1"/>
      <w:marLeft w:val="0"/>
      <w:marRight w:val="0"/>
      <w:marTop w:val="0"/>
      <w:marBottom w:val="0"/>
      <w:divBdr>
        <w:top w:val="none" w:sz="0" w:space="0" w:color="auto"/>
        <w:left w:val="none" w:sz="0" w:space="0" w:color="auto"/>
        <w:bottom w:val="none" w:sz="0" w:space="0" w:color="auto"/>
        <w:right w:val="none" w:sz="0" w:space="0" w:color="auto"/>
      </w:divBdr>
    </w:div>
    <w:div w:id="1969892492">
      <w:bodyDiv w:val="1"/>
      <w:marLeft w:val="0"/>
      <w:marRight w:val="0"/>
      <w:marTop w:val="0"/>
      <w:marBottom w:val="0"/>
      <w:divBdr>
        <w:top w:val="none" w:sz="0" w:space="0" w:color="auto"/>
        <w:left w:val="none" w:sz="0" w:space="0" w:color="auto"/>
        <w:bottom w:val="none" w:sz="0" w:space="0" w:color="auto"/>
        <w:right w:val="none" w:sz="0" w:space="0" w:color="auto"/>
      </w:divBdr>
    </w:div>
    <w:div w:id="1973440959">
      <w:bodyDiv w:val="1"/>
      <w:marLeft w:val="0"/>
      <w:marRight w:val="0"/>
      <w:marTop w:val="0"/>
      <w:marBottom w:val="0"/>
      <w:divBdr>
        <w:top w:val="none" w:sz="0" w:space="0" w:color="auto"/>
        <w:left w:val="none" w:sz="0" w:space="0" w:color="auto"/>
        <w:bottom w:val="none" w:sz="0" w:space="0" w:color="auto"/>
        <w:right w:val="none" w:sz="0" w:space="0" w:color="auto"/>
      </w:divBdr>
    </w:div>
    <w:div w:id="1982999432">
      <w:bodyDiv w:val="1"/>
      <w:marLeft w:val="0"/>
      <w:marRight w:val="0"/>
      <w:marTop w:val="0"/>
      <w:marBottom w:val="0"/>
      <w:divBdr>
        <w:top w:val="none" w:sz="0" w:space="0" w:color="auto"/>
        <w:left w:val="none" w:sz="0" w:space="0" w:color="auto"/>
        <w:bottom w:val="none" w:sz="0" w:space="0" w:color="auto"/>
        <w:right w:val="none" w:sz="0" w:space="0" w:color="auto"/>
      </w:divBdr>
    </w:div>
    <w:div w:id="1985308243">
      <w:bodyDiv w:val="1"/>
      <w:marLeft w:val="0"/>
      <w:marRight w:val="0"/>
      <w:marTop w:val="0"/>
      <w:marBottom w:val="0"/>
      <w:divBdr>
        <w:top w:val="none" w:sz="0" w:space="0" w:color="auto"/>
        <w:left w:val="none" w:sz="0" w:space="0" w:color="auto"/>
        <w:bottom w:val="none" w:sz="0" w:space="0" w:color="auto"/>
        <w:right w:val="none" w:sz="0" w:space="0" w:color="auto"/>
      </w:divBdr>
    </w:div>
    <w:div w:id="1987856276">
      <w:bodyDiv w:val="1"/>
      <w:marLeft w:val="0"/>
      <w:marRight w:val="0"/>
      <w:marTop w:val="0"/>
      <w:marBottom w:val="0"/>
      <w:divBdr>
        <w:top w:val="none" w:sz="0" w:space="0" w:color="auto"/>
        <w:left w:val="none" w:sz="0" w:space="0" w:color="auto"/>
        <w:bottom w:val="none" w:sz="0" w:space="0" w:color="auto"/>
        <w:right w:val="none" w:sz="0" w:space="0" w:color="auto"/>
      </w:divBdr>
    </w:div>
    <w:div w:id="1998609174">
      <w:bodyDiv w:val="1"/>
      <w:marLeft w:val="0"/>
      <w:marRight w:val="0"/>
      <w:marTop w:val="0"/>
      <w:marBottom w:val="0"/>
      <w:divBdr>
        <w:top w:val="none" w:sz="0" w:space="0" w:color="auto"/>
        <w:left w:val="none" w:sz="0" w:space="0" w:color="auto"/>
        <w:bottom w:val="none" w:sz="0" w:space="0" w:color="auto"/>
        <w:right w:val="none" w:sz="0" w:space="0" w:color="auto"/>
      </w:divBdr>
    </w:div>
    <w:div w:id="2004434483">
      <w:bodyDiv w:val="1"/>
      <w:marLeft w:val="0"/>
      <w:marRight w:val="0"/>
      <w:marTop w:val="0"/>
      <w:marBottom w:val="0"/>
      <w:divBdr>
        <w:top w:val="none" w:sz="0" w:space="0" w:color="auto"/>
        <w:left w:val="none" w:sz="0" w:space="0" w:color="auto"/>
        <w:bottom w:val="none" w:sz="0" w:space="0" w:color="auto"/>
        <w:right w:val="none" w:sz="0" w:space="0" w:color="auto"/>
      </w:divBdr>
    </w:div>
    <w:div w:id="2012642346">
      <w:bodyDiv w:val="1"/>
      <w:marLeft w:val="0"/>
      <w:marRight w:val="0"/>
      <w:marTop w:val="0"/>
      <w:marBottom w:val="0"/>
      <w:divBdr>
        <w:top w:val="none" w:sz="0" w:space="0" w:color="auto"/>
        <w:left w:val="none" w:sz="0" w:space="0" w:color="auto"/>
        <w:bottom w:val="none" w:sz="0" w:space="0" w:color="auto"/>
        <w:right w:val="none" w:sz="0" w:space="0" w:color="auto"/>
      </w:divBdr>
    </w:div>
    <w:div w:id="2013945405">
      <w:bodyDiv w:val="1"/>
      <w:marLeft w:val="0"/>
      <w:marRight w:val="0"/>
      <w:marTop w:val="0"/>
      <w:marBottom w:val="0"/>
      <w:divBdr>
        <w:top w:val="none" w:sz="0" w:space="0" w:color="auto"/>
        <w:left w:val="none" w:sz="0" w:space="0" w:color="auto"/>
        <w:bottom w:val="none" w:sz="0" w:space="0" w:color="auto"/>
        <w:right w:val="none" w:sz="0" w:space="0" w:color="auto"/>
      </w:divBdr>
    </w:div>
    <w:div w:id="2016150807">
      <w:bodyDiv w:val="1"/>
      <w:marLeft w:val="0"/>
      <w:marRight w:val="0"/>
      <w:marTop w:val="0"/>
      <w:marBottom w:val="0"/>
      <w:divBdr>
        <w:top w:val="none" w:sz="0" w:space="0" w:color="auto"/>
        <w:left w:val="none" w:sz="0" w:space="0" w:color="auto"/>
        <w:bottom w:val="none" w:sz="0" w:space="0" w:color="auto"/>
        <w:right w:val="none" w:sz="0" w:space="0" w:color="auto"/>
      </w:divBdr>
    </w:div>
    <w:div w:id="2017071290">
      <w:bodyDiv w:val="1"/>
      <w:marLeft w:val="0"/>
      <w:marRight w:val="0"/>
      <w:marTop w:val="0"/>
      <w:marBottom w:val="0"/>
      <w:divBdr>
        <w:top w:val="none" w:sz="0" w:space="0" w:color="auto"/>
        <w:left w:val="none" w:sz="0" w:space="0" w:color="auto"/>
        <w:bottom w:val="none" w:sz="0" w:space="0" w:color="auto"/>
        <w:right w:val="none" w:sz="0" w:space="0" w:color="auto"/>
      </w:divBdr>
    </w:div>
    <w:div w:id="2019307281">
      <w:bodyDiv w:val="1"/>
      <w:marLeft w:val="0"/>
      <w:marRight w:val="0"/>
      <w:marTop w:val="0"/>
      <w:marBottom w:val="0"/>
      <w:divBdr>
        <w:top w:val="none" w:sz="0" w:space="0" w:color="auto"/>
        <w:left w:val="none" w:sz="0" w:space="0" w:color="auto"/>
        <w:bottom w:val="none" w:sz="0" w:space="0" w:color="auto"/>
        <w:right w:val="none" w:sz="0" w:space="0" w:color="auto"/>
      </w:divBdr>
    </w:div>
    <w:div w:id="2019455433">
      <w:bodyDiv w:val="1"/>
      <w:marLeft w:val="0"/>
      <w:marRight w:val="0"/>
      <w:marTop w:val="0"/>
      <w:marBottom w:val="0"/>
      <w:divBdr>
        <w:top w:val="none" w:sz="0" w:space="0" w:color="auto"/>
        <w:left w:val="none" w:sz="0" w:space="0" w:color="auto"/>
        <w:bottom w:val="none" w:sz="0" w:space="0" w:color="auto"/>
        <w:right w:val="none" w:sz="0" w:space="0" w:color="auto"/>
      </w:divBdr>
    </w:div>
    <w:div w:id="2025133385">
      <w:bodyDiv w:val="1"/>
      <w:marLeft w:val="0"/>
      <w:marRight w:val="0"/>
      <w:marTop w:val="0"/>
      <w:marBottom w:val="0"/>
      <w:divBdr>
        <w:top w:val="none" w:sz="0" w:space="0" w:color="auto"/>
        <w:left w:val="none" w:sz="0" w:space="0" w:color="auto"/>
        <w:bottom w:val="none" w:sz="0" w:space="0" w:color="auto"/>
        <w:right w:val="none" w:sz="0" w:space="0" w:color="auto"/>
      </w:divBdr>
    </w:div>
    <w:div w:id="2025594488">
      <w:bodyDiv w:val="1"/>
      <w:marLeft w:val="0"/>
      <w:marRight w:val="0"/>
      <w:marTop w:val="0"/>
      <w:marBottom w:val="0"/>
      <w:divBdr>
        <w:top w:val="none" w:sz="0" w:space="0" w:color="auto"/>
        <w:left w:val="none" w:sz="0" w:space="0" w:color="auto"/>
        <w:bottom w:val="none" w:sz="0" w:space="0" w:color="auto"/>
        <w:right w:val="none" w:sz="0" w:space="0" w:color="auto"/>
      </w:divBdr>
    </w:div>
    <w:div w:id="2030983112">
      <w:bodyDiv w:val="1"/>
      <w:marLeft w:val="0"/>
      <w:marRight w:val="0"/>
      <w:marTop w:val="0"/>
      <w:marBottom w:val="0"/>
      <w:divBdr>
        <w:top w:val="none" w:sz="0" w:space="0" w:color="auto"/>
        <w:left w:val="none" w:sz="0" w:space="0" w:color="auto"/>
        <w:bottom w:val="none" w:sz="0" w:space="0" w:color="auto"/>
        <w:right w:val="none" w:sz="0" w:space="0" w:color="auto"/>
      </w:divBdr>
    </w:div>
    <w:div w:id="2032762225">
      <w:bodyDiv w:val="1"/>
      <w:marLeft w:val="0"/>
      <w:marRight w:val="0"/>
      <w:marTop w:val="0"/>
      <w:marBottom w:val="0"/>
      <w:divBdr>
        <w:top w:val="none" w:sz="0" w:space="0" w:color="auto"/>
        <w:left w:val="none" w:sz="0" w:space="0" w:color="auto"/>
        <w:bottom w:val="none" w:sz="0" w:space="0" w:color="auto"/>
        <w:right w:val="none" w:sz="0" w:space="0" w:color="auto"/>
      </w:divBdr>
    </w:div>
    <w:div w:id="2035423153">
      <w:bodyDiv w:val="1"/>
      <w:marLeft w:val="0"/>
      <w:marRight w:val="0"/>
      <w:marTop w:val="0"/>
      <w:marBottom w:val="0"/>
      <w:divBdr>
        <w:top w:val="none" w:sz="0" w:space="0" w:color="auto"/>
        <w:left w:val="none" w:sz="0" w:space="0" w:color="auto"/>
        <w:bottom w:val="none" w:sz="0" w:space="0" w:color="auto"/>
        <w:right w:val="none" w:sz="0" w:space="0" w:color="auto"/>
      </w:divBdr>
    </w:div>
    <w:div w:id="2038775501">
      <w:bodyDiv w:val="1"/>
      <w:marLeft w:val="0"/>
      <w:marRight w:val="0"/>
      <w:marTop w:val="0"/>
      <w:marBottom w:val="0"/>
      <w:divBdr>
        <w:top w:val="none" w:sz="0" w:space="0" w:color="auto"/>
        <w:left w:val="none" w:sz="0" w:space="0" w:color="auto"/>
        <w:bottom w:val="none" w:sz="0" w:space="0" w:color="auto"/>
        <w:right w:val="none" w:sz="0" w:space="0" w:color="auto"/>
      </w:divBdr>
    </w:div>
    <w:div w:id="2040616642">
      <w:bodyDiv w:val="1"/>
      <w:marLeft w:val="0"/>
      <w:marRight w:val="0"/>
      <w:marTop w:val="0"/>
      <w:marBottom w:val="0"/>
      <w:divBdr>
        <w:top w:val="none" w:sz="0" w:space="0" w:color="auto"/>
        <w:left w:val="none" w:sz="0" w:space="0" w:color="auto"/>
        <w:bottom w:val="none" w:sz="0" w:space="0" w:color="auto"/>
        <w:right w:val="none" w:sz="0" w:space="0" w:color="auto"/>
      </w:divBdr>
    </w:div>
    <w:div w:id="2048025874">
      <w:bodyDiv w:val="1"/>
      <w:marLeft w:val="0"/>
      <w:marRight w:val="0"/>
      <w:marTop w:val="0"/>
      <w:marBottom w:val="0"/>
      <w:divBdr>
        <w:top w:val="none" w:sz="0" w:space="0" w:color="auto"/>
        <w:left w:val="none" w:sz="0" w:space="0" w:color="auto"/>
        <w:bottom w:val="none" w:sz="0" w:space="0" w:color="auto"/>
        <w:right w:val="none" w:sz="0" w:space="0" w:color="auto"/>
      </w:divBdr>
    </w:div>
    <w:div w:id="2056924978">
      <w:bodyDiv w:val="1"/>
      <w:marLeft w:val="0"/>
      <w:marRight w:val="0"/>
      <w:marTop w:val="0"/>
      <w:marBottom w:val="0"/>
      <w:divBdr>
        <w:top w:val="none" w:sz="0" w:space="0" w:color="auto"/>
        <w:left w:val="none" w:sz="0" w:space="0" w:color="auto"/>
        <w:bottom w:val="none" w:sz="0" w:space="0" w:color="auto"/>
        <w:right w:val="none" w:sz="0" w:space="0" w:color="auto"/>
      </w:divBdr>
    </w:div>
    <w:div w:id="2058890057">
      <w:bodyDiv w:val="1"/>
      <w:marLeft w:val="0"/>
      <w:marRight w:val="0"/>
      <w:marTop w:val="0"/>
      <w:marBottom w:val="0"/>
      <w:divBdr>
        <w:top w:val="none" w:sz="0" w:space="0" w:color="auto"/>
        <w:left w:val="none" w:sz="0" w:space="0" w:color="auto"/>
        <w:bottom w:val="none" w:sz="0" w:space="0" w:color="auto"/>
        <w:right w:val="none" w:sz="0" w:space="0" w:color="auto"/>
      </w:divBdr>
    </w:div>
    <w:div w:id="2060006790">
      <w:bodyDiv w:val="1"/>
      <w:marLeft w:val="0"/>
      <w:marRight w:val="0"/>
      <w:marTop w:val="0"/>
      <w:marBottom w:val="0"/>
      <w:divBdr>
        <w:top w:val="none" w:sz="0" w:space="0" w:color="auto"/>
        <w:left w:val="none" w:sz="0" w:space="0" w:color="auto"/>
        <w:bottom w:val="none" w:sz="0" w:space="0" w:color="auto"/>
        <w:right w:val="none" w:sz="0" w:space="0" w:color="auto"/>
      </w:divBdr>
    </w:div>
    <w:div w:id="2060398697">
      <w:bodyDiv w:val="1"/>
      <w:marLeft w:val="0"/>
      <w:marRight w:val="0"/>
      <w:marTop w:val="0"/>
      <w:marBottom w:val="0"/>
      <w:divBdr>
        <w:top w:val="none" w:sz="0" w:space="0" w:color="auto"/>
        <w:left w:val="none" w:sz="0" w:space="0" w:color="auto"/>
        <w:bottom w:val="none" w:sz="0" w:space="0" w:color="auto"/>
        <w:right w:val="none" w:sz="0" w:space="0" w:color="auto"/>
      </w:divBdr>
    </w:div>
    <w:div w:id="2067678987">
      <w:bodyDiv w:val="1"/>
      <w:marLeft w:val="0"/>
      <w:marRight w:val="0"/>
      <w:marTop w:val="0"/>
      <w:marBottom w:val="0"/>
      <w:divBdr>
        <w:top w:val="none" w:sz="0" w:space="0" w:color="auto"/>
        <w:left w:val="none" w:sz="0" w:space="0" w:color="auto"/>
        <w:bottom w:val="none" w:sz="0" w:space="0" w:color="auto"/>
        <w:right w:val="none" w:sz="0" w:space="0" w:color="auto"/>
      </w:divBdr>
    </w:div>
    <w:div w:id="2070884359">
      <w:bodyDiv w:val="1"/>
      <w:marLeft w:val="0"/>
      <w:marRight w:val="0"/>
      <w:marTop w:val="0"/>
      <w:marBottom w:val="0"/>
      <w:divBdr>
        <w:top w:val="none" w:sz="0" w:space="0" w:color="auto"/>
        <w:left w:val="none" w:sz="0" w:space="0" w:color="auto"/>
        <w:bottom w:val="none" w:sz="0" w:space="0" w:color="auto"/>
        <w:right w:val="none" w:sz="0" w:space="0" w:color="auto"/>
      </w:divBdr>
    </w:div>
    <w:div w:id="2075544080">
      <w:bodyDiv w:val="1"/>
      <w:marLeft w:val="0"/>
      <w:marRight w:val="0"/>
      <w:marTop w:val="0"/>
      <w:marBottom w:val="0"/>
      <w:divBdr>
        <w:top w:val="none" w:sz="0" w:space="0" w:color="auto"/>
        <w:left w:val="none" w:sz="0" w:space="0" w:color="auto"/>
        <w:bottom w:val="none" w:sz="0" w:space="0" w:color="auto"/>
        <w:right w:val="none" w:sz="0" w:space="0" w:color="auto"/>
      </w:divBdr>
    </w:div>
    <w:div w:id="2082369227">
      <w:bodyDiv w:val="1"/>
      <w:marLeft w:val="0"/>
      <w:marRight w:val="0"/>
      <w:marTop w:val="0"/>
      <w:marBottom w:val="0"/>
      <w:divBdr>
        <w:top w:val="none" w:sz="0" w:space="0" w:color="auto"/>
        <w:left w:val="none" w:sz="0" w:space="0" w:color="auto"/>
        <w:bottom w:val="none" w:sz="0" w:space="0" w:color="auto"/>
        <w:right w:val="none" w:sz="0" w:space="0" w:color="auto"/>
      </w:divBdr>
    </w:div>
    <w:div w:id="2083521307">
      <w:bodyDiv w:val="1"/>
      <w:marLeft w:val="0"/>
      <w:marRight w:val="0"/>
      <w:marTop w:val="0"/>
      <w:marBottom w:val="0"/>
      <w:divBdr>
        <w:top w:val="none" w:sz="0" w:space="0" w:color="auto"/>
        <w:left w:val="none" w:sz="0" w:space="0" w:color="auto"/>
        <w:bottom w:val="none" w:sz="0" w:space="0" w:color="auto"/>
        <w:right w:val="none" w:sz="0" w:space="0" w:color="auto"/>
      </w:divBdr>
    </w:div>
    <w:div w:id="2083718636">
      <w:bodyDiv w:val="1"/>
      <w:marLeft w:val="0"/>
      <w:marRight w:val="0"/>
      <w:marTop w:val="0"/>
      <w:marBottom w:val="0"/>
      <w:divBdr>
        <w:top w:val="none" w:sz="0" w:space="0" w:color="auto"/>
        <w:left w:val="none" w:sz="0" w:space="0" w:color="auto"/>
        <w:bottom w:val="none" w:sz="0" w:space="0" w:color="auto"/>
        <w:right w:val="none" w:sz="0" w:space="0" w:color="auto"/>
      </w:divBdr>
    </w:div>
    <w:div w:id="2092580801">
      <w:bodyDiv w:val="1"/>
      <w:marLeft w:val="0"/>
      <w:marRight w:val="0"/>
      <w:marTop w:val="0"/>
      <w:marBottom w:val="0"/>
      <w:divBdr>
        <w:top w:val="none" w:sz="0" w:space="0" w:color="auto"/>
        <w:left w:val="none" w:sz="0" w:space="0" w:color="auto"/>
        <w:bottom w:val="none" w:sz="0" w:space="0" w:color="auto"/>
        <w:right w:val="none" w:sz="0" w:space="0" w:color="auto"/>
      </w:divBdr>
    </w:div>
    <w:div w:id="2102797907">
      <w:bodyDiv w:val="1"/>
      <w:marLeft w:val="0"/>
      <w:marRight w:val="0"/>
      <w:marTop w:val="0"/>
      <w:marBottom w:val="0"/>
      <w:divBdr>
        <w:top w:val="none" w:sz="0" w:space="0" w:color="auto"/>
        <w:left w:val="none" w:sz="0" w:space="0" w:color="auto"/>
        <w:bottom w:val="none" w:sz="0" w:space="0" w:color="auto"/>
        <w:right w:val="none" w:sz="0" w:space="0" w:color="auto"/>
      </w:divBdr>
    </w:div>
    <w:div w:id="2104063085">
      <w:bodyDiv w:val="1"/>
      <w:marLeft w:val="0"/>
      <w:marRight w:val="0"/>
      <w:marTop w:val="0"/>
      <w:marBottom w:val="0"/>
      <w:divBdr>
        <w:top w:val="none" w:sz="0" w:space="0" w:color="auto"/>
        <w:left w:val="none" w:sz="0" w:space="0" w:color="auto"/>
        <w:bottom w:val="none" w:sz="0" w:space="0" w:color="auto"/>
        <w:right w:val="none" w:sz="0" w:space="0" w:color="auto"/>
      </w:divBdr>
    </w:div>
    <w:div w:id="2106803824">
      <w:bodyDiv w:val="1"/>
      <w:marLeft w:val="0"/>
      <w:marRight w:val="0"/>
      <w:marTop w:val="0"/>
      <w:marBottom w:val="0"/>
      <w:divBdr>
        <w:top w:val="none" w:sz="0" w:space="0" w:color="auto"/>
        <w:left w:val="none" w:sz="0" w:space="0" w:color="auto"/>
        <w:bottom w:val="none" w:sz="0" w:space="0" w:color="auto"/>
        <w:right w:val="none" w:sz="0" w:space="0" w:color="auto"/>
      </w:divBdr>
    </w:div>
    <w:div w:id="2110468976">
      <w:bodyDiv w:val="1"/>
      <w:marLeft w:val="0"/>
      <w:marRight w:val="0"/>
      <w:marTop w:val="0"/>
      <w:marBottom w:val="0"/>
      <w:divBdr>
        <w:top w:val="none" w:sz="0" w:space="0" w:color="auto"/>
        <w:left w:val="none" w:sz="0" w:space="0" w:color="auto"/>
        <w:bottom w:val="none" w:sz="0" w:space="0" w:color="auto"/>
        <w:right w:val="none" w:sz="0" w:space="0" w:color="auto"/>
      </w:divBdr>
    </w:div>
    <w:div w:id="2114473091">
      <w:bodyDiv w:val="1"/>
      <w:marLeft w:val="0"/>
      <w:marRight w:val="0"/>
      <w:marTop w:val="0"/>
      <w:marBottom w:val="0"/>
      <w:divBdr>
        <w:top w:val="none" w:sz="0" w:space="0" w:color="auto"/>
        <w:left w:val="none" w:sz="0" w:space="0" w:color="auto"/>
        <w:bottom w:val="none" w:sz="0" w:space="0" w:color="auto"/>
        <w:right w:val="none" w:sz="0" w:space="0" w:color="auto"/>
      </w:divBdr>
    </w:div>
    <w:div w:id="2114473105">
      <w:bodyDiv w:val="1"/>
      <w:marLeft w:val="0"/>
      <w:marRight w:val="0"/>
      <w:marTop w:val="0"/>
      <w:marBottom w:val="0"/>
      <w:divBdr>
        <w:top w:val="none" w:sz="0" w:space="0" w:color="auto"/>
        <w:left w:val="none" w:sz="0" w:space="0" w:color="auto"/>
        <w:bottom w:val="none" w:sz="0" w:space="0" w:color="auto"/>
        <w:right w:val="none" w:sz="0" w:space="0" w:color="auto"/>
      </w:divBdr>
    </w:div>
    <w:div w:id="2114786088">
      <w:bodyDiv w:val="1"/>
      <w:marLeft w:val="0"/>
      <w:marRight w:val="0"/>
      <w:marTop w:val="0"/>
      <w:marBottom w:val="0"/>
      <w:divBdr>
        <w:top w:val="none" w:sz="0" w:space="0" w:color="auto"/>
        <w:left w:val="none" w:sz="0" w:space="0" w:color="auto"/>
        <w:bottom w:val="none" w:sz="0" w:space="0" w:color="auto"/>
        <w:right w:val="none" w:sz="0" w:space="0" w:color="auto"/>
      </w:divBdr>
    </w:div>
    <w:div w:id="2115049393">
      <w:bodyDiv w:val="1"/>
      <w:marLeft w:val="0"/>
      <w:marRight w:val="0"/>
      <w:marTop w:val="0"/>
      <w:marBottom w:val="0"/>
      <w:divBdr>
        <w:top w:val="none" w:sz="0" w:space="0" w:color="auto"/>
        <w:left w:val="none" w:sz="0" w:space="0" w:color="auto"/>
        <w:bottom w:val="none" w:sz="0" w:space="0" w:color="auto"/>
        <w:right w:val="none" w:sz="0" w:space="0" w:color="auto"/>
      </w:divBdr>
    </w:div>
    <w:div w:id="2115394364">
      <w:bodyDiv w:val="1"/>
      <w:marLeft w:val="0"/>
      <w:marRight w:val="0"/>
      <w:marTop w:val="0"/>
      <w:marBottom w:val="0"/>
      <w:divBdr>
        <w:top w:val="none" w:sz="0" w:space="0" w:color="auto"/>
        <w:left w:val="none" w:sz="0" w:space="0" w:color="auto"/>
        <w:bottom w:val="none" w:sz="0" w:space="0" w:color="auto"/>
        <w:right w:val="none" w:sz="0" w:space="0" w:color="auto"/>
      </w:divBdr>
    </w:div>
    <w:div w:id="2124498399">
      <w:bodyDiv w:val="1"/>
      <w:marLeft w:val="0"/>
      <w:marRight w:val="0"/>
      <w:marTop w:val="0"/>
      <w:marBottom w:val="0"/>
      <w:divBdr>
        <w:top w:val="none" w:sz="0" w:space="0" w:color="auto"/>
        <w:left w:val="none" w:sz="0" w:space="0" w:color="auto"/>
        <w:bottom w:val="none" w:sz="0" w:space="0" w:color="auto"/>
        <w:right w:val="none" w:sz="0" w:space="0" w:color="auto"/>
      </w:divBdr>
    </w:div>
    <w:div w:id="2126460921">
      <w:bodyDiv w:val="1"/>
      <w:marLeft w:val="0"/>
      <w:marRight w:val="0"/>
      <w:marTop w:val="0"/>
      <w:marBottom w:val="0"/>
      <w:divBdr>
        <w:top w:val="none" w:sz="0" w:space="0" w:color="auto"/>
        <w:left w:val="none" w:sz="0" w:space="0" w:color="auto"/>
        <w:bottom w:val="none" w:sz="0" w:space="0" w:color="auto"/>
        <w:right w:val="none" w:sz="0" w:space="0" w:color="auto"/>
      </w:divBdr>
    </w:div>
    <w:div w:id="2131043720">
      <w:bodyDiv w:val="1"/>
      <w:marLeft w:val="0"/>
      <w:marRight w:val="0"/>
      <w:marTop w:val="0"/>
      <w:marBottom w:val="0"/>
      <w:divBdr>
        <w:top w:val="none" w:sz="0" w:space="0" w:color="auto"/>
        <w:left w:val="none" w:sz="0" w:space="0" w:color="auto"/>
        <w:bottom w:val="none" w:sz="0" w:space="0" w:color="auto"/>
        <w:right w:val="none" w:sz="0" w:space="0" w:color="auto"/>
      </w:divBdr>
    </w:div>
    <w:div w:id="2137989094">
      <w:bodyDiv w:val="1"/>
      <w:marLeft w:val="0"/>
      <w:marRight w:val="0"/>
      <w:marTop w:val="0"/>
      <w:marBottom w:val="0"/>
      <w:divBdr>
        <w:top w:val="none" w:sz="0" w:space="0" w:color="auto"/>
        <w:left w:val="none" w:sz="0" w:space="0" w:color="auto"/>
        <w:bottom w:val="none" w:sz="0" w:space="0" w:color="auto"/>
        <w:right w:val="none" w:sz="0" w:space="0" w:color="auto"/>
      </w:divBdr>
    </w:div>
    <w:div w:id="2139452806">
      <w:bodyDiv w:val="1"/>
      <w:marLeft w:val="0"/>
      <w:marRight w:val="0"/>
      <w:marTop w:val="0"/>
      <w:marBottom w:val="0"/>
      <w:divBdr>
        <w:top w:val="none" w:sz="0" w:space="0" w:color="auto"/>
        <w:left w:val="none" w:sz="0" w:space="0" w:color="auto"/>
        <w:bottom w:val="none" w:sz="0" w:space="0" w:color="auto"/>
        <w:right w:val="none" w:sz="0" w:space="0" w:color="auto"/>
      </w:divBdr>
    </w:div>
    <w:div w:id="2142377470">
      <w:bodyDiv w:val="1"/>
      <w:marLeft w:val="0"/>
      <w:marRight w:val="0"/>
      <w:marTop w:val="0"/>
      <w:marBottom w:val="0"/>
      <w:divBdr>
        <w:top w:val="none" w:sz="0" w:space="0" w:color="auto"/>
        <w:left w:val="none" w:sz="0" w:space="0" w:color="auto"/>
        <w:bottom w:val="none" w:sz="0" w:space="0" w:color="auto"/>
        <w:right w:val="none" w:sz="0" w:space="0" w:color="auto"/>
      </w:divBdr>
    </w:div>
    <w:div w:id="2143305371">
      <w:bodyDiv w:val="1"/>
      <w:marLeft w:val="0"/>
      <w:marRight w:val="0"/>
      <w:marTop w:val="0"/>
      <w:marBottom w:val="0"/>
      <w:divBdr>
        <w:top w:val="none" w:sz="0" w:space="0" w:color="auto"/>
        <w:left w:val="none" w:sz="0" w:space="0" w:color="auto"/>
        <w:bottom w:val="none" w:sz="0" w:space="0" w:color="auto"/>
        <w:right w:val="none" w:sz="0" w:space="0" w:color="auto"/>
      </w:divBdr>
    </w:div>
    <w:div w:id="214357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data01\main\ECON\PLANNING\Shared\Teddy\Teddoc\Analiz2017\Q2_2017otchet_V.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94909508860412"/>
          <c:y val="0.15046310222458101"/>
          <c:w val="0.29911737615911499"/>
          <c:h val="0.66882292368321195"/>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0"/>
              <c:tx>
                <c:rich>
                  <a:bodyPr/>
                  <a:lstStyle/>
                  <a:p>
                    <a:pPr>
                      <a:defRPr sz="1100" b="0" i="0" u="none" strike="noStrike" baseline="0">
                        <a:solidFill>
                          <a:srgbClr val="000000"/>
                        </a:solidFill>
                        <a:latin typeface="Calibri"/>
                        <a:ea typeface="Calibri"/>
                        <a:cs typeface="Calibri"/>
                      </a:defRPr>
                    </a:pPr>
                    <a:r>
                      <a:rPr lang="mr-IN"/>
                      <a:t>25.14%</a:t>
                    </a:r>
                  </a:p>
                </c:rich>
              </c:tx>
              <c:numFmt formatCode="0.00%" sourceLinked="0"/>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1100" b="0" i="0" u="none" strike="noStrike" baseline="0">
                        <a:solidFill>
                          <a:srgbClr val="000000"/>
                        </a:solidFill>
                        <a:latin typeface="Calibri"/>
                        <a:ea typeface="Calibri"/>
                        <a:cs typeface="Calibri"/>
                      </a:defRPr>
                    </a:pPr>
                    <a:r>
                      <a:rPr lang="mr-IN"/>
                      <a:t>20.41%</a:t>
                    </a:r>
                  </a:p>
                </c:rich>
              </c:tx>
              <c:numFmt formatCode="0.00%" sourceLinked="0"/>
              <c:spPr/>
              <c:showLegendKey val="0"/>
              <c:showVal val="0"/>
              <c:showCatName val="0"/>
              <c:showSerName val="0"/>
              <c:showPercent val="0"/>
              <c:showBubbleSize val="0"/>
              <c:extLst>
                <c:ext xmlns:c15="http://schemas.microsoft.com/office/drawing/2012/chart" uri="{CE6537A1-D6FC-4f65-9D91-7224C49458BB}"/>
              </c:extLst>
            </c:dLbl>
            <c:numFmt formatCode="0.00%" sourceLinked="0"/>
            <c:spPr>
              <a:noFill/>
              <a:ln w="25400">
                <a:noFill/>
              </a:ln>
            </c:spPr>
            <c:txPr>
              <a:bodyPr/>
              <a:lstStyle/>
              <a:p>
                <a:pPr>
                  <a:defRPr sz="11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стр.капитал!$A$2:$A$8</c:f>
              <c:strCache>
                <c:ptCount val="7"/>
                <c:pt idx="0">
                  <c:v>Донев инвестмънтс холдинг АД</c:v>
                </c:pt>
                <c:pt idx="1">
                  <c:v>Тeлекомплект инвест АД </c:v>
                </c:pt>
                <c:pt idx="2">
                  <c:v>Ромфарм компани ООД</c:v>
                </c:pt>
                <c:pt idx="3">
                  <c:v>ЗУПФ Алианц България</c:v>
                </c:pt>
                <c:pt idx="4">
                  <c:v>Софарма АД (обратно изкупени акции)</c:v>
                </c:pt>
                <c:pt idx="5">
                  <c:v>Други юридически лица</c:v>
                </c:pt>
                <c:pt idx="6">
                  <c:v>Физически лица</c:v>
                </c:pt>
              </c:strCache>
            </c:strRef>
          </c:cat>
          <c:val>
            <c:numRef>
              <c:f>стр.капитал!$B$2:$B$8</c:f>
              <c:numCache>
                <c:formatCode>0.00%</c:formatCode>
                <c:ptCount val="7"/>
                <c:pt idx="0">
                  <c:v>0.25140000000000001</c:v>
                </c:pt>
                <c:pt idx="1">
                  <c:v>0.2041</c:v>
                </c:pt>
                <c:pt idx="2">
                  <c:v>0.1804</c:v>
                </c:pt>
                <c:pt idx="3">
                  <c:v>5.1700000000000003E-2</c:v>
                </c:pt>
                <c:pt idx="4">
                  <c:v>4.0800000000000003E-2</c:v>
                </c:pt>
                <c:pt idx="5">
                  <c:v>0.22689999999999999</c:v>
                </c:pt>
                <c:pt idx="6">
                  <c:v>4.4699999999999997E-2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5488321535565597"/>
          <c:y val="3.0534468905672501E-2"/>
          <c:w val="0.32828335851957902"/>
          <c:h val="0.89313150141946596"/>
        </c:manualLayout>
      </c:layout>
      <c:overlay val="0"/>
      <c:txPr>
        <a:bodyPr/>
        <a:lstStyle/>
        <a:p>
          <a:pPr>
            <a:defRPr sz="755" b="0" i="0" u="none" strike="noStrike" baseline="0">
              <a:solidFill>
                <a:srgbClr val="000000"/>
              </a:solidFill>
              <a:latin typeface="Calibri"/>
              <a:ea typeface="Calibri"/>
              <a:cs typeface="Calibri"/>
            </a:defRPr>
          </a:pPr>
          <a:endParaRPr lang="bg-BG"/>
        </a:p>
      </c:txPr>
    </c:legend>
    <c:plotVisOnly val="1"/>
    <c:dispBlanksAs val="zero"/>
    <c:showDLblsOverMax val="0"/>
  </c:chart>
  <c:spPr>
    <a:ln>
      <a:noFill/>
    </a:ln>
  </c:spPr>
  <c:txPr>
    <a:bodyPr/>
    <a:lstStyle/>
    <a:p>
      <a:pPr>
        <a:defRPr sz="11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b="1" i="0" u="none" strike="noStrike" baseline="0">
                <a:solidFill>
                  <a:srgbClr val="000000"/>
                </a:solidFill>
                <a:latin typeface="Calibri"/>
                <a:ea typeface="Calibri"/>
                <a:cs typeface="Calibri"/>
              </a:defRPr>
            </a:pPr>
            <a:r>
              <a:rPr lang="bg-BG" sz="1100"/>
              <a:t>Приходи от продажби</a:t>
            </a:r>
          </a:p>
        </c:rich>
      </c:tx>
      <c:overlay val="0"/>
    </c:title>
    <c:autoTitleDeleted val="0"/>
    <c:plotArea>
      <c:layout/>
      <c:barChart>
        <c:barDir val="col"/>
        <c:grouping val="clustered"/>
        <c:varyColors val="0"/>
        <c:ser>
          <c:idx val="0"/>
          <c:order val="0"/>
          <c:tx>
            <c:strRef>
              <c:f>'Графика п-би'!$B$2</c:f>
              <c:strCache>
                <c:ptCount val="1"/>
                <c:pt idx="0">
                  <c:v>1-6/2016</c:v>
                </c:pt>
              </c:strCache>
            </c:strRef>
          </c:tx>
          <c:invertIfNegative val="0"/>
          <c:dLbls>
            <c:dLbl>
              <c:idx val="0"/>
              <c:layout>
                <c:manualLayout>
                  <c:x val="-4.3932584738513398E-3"/>
                  <c:y val="3.26744088495787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256387466669999E-2"/>
                  <c:y val="7.43105741919247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9659527732015E-2"/>
                  <c:y val="2.232055232226410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Вътрешен пазар</c:v>
                </c:pt>
                <c:pt idx="1">
                  <c:v>Износ</c:v>
                </c:pt>
                <c:pt idx="2">
                  <c:v>Общо</c:v>
                </c:pt>
              </c:strCache>
            </c:strRef>
          </c:cat>
          <c:val>
            <c:numRef>
              <c:f>'Графика п-би'!$B$3:$B$5</c:f>
              <c:numCache>
                <c:formatCode>#,##0;\(#,##0\)</c:formatCode>
                <c:ptCount val="3"/>
                <c:pt idx="0">
                  <c:v>32706</c:v>
                </c:pt>
                <c:pt idx="1">
                  <c:v>46224</c:v>
                </c:pt>
                <c:pt idx="2">
                  <c:v>78930</c:v>
                </c:pt>
              </c:numCache>
            </c:numRef>
          </c:val>
        </c:ser>
        <c:ser>
          <c:idx val="1"/>
          <c:order val="1"/>
          <c:tx>
            <c:strRef>
              <c:f>'Графика п-би'!$C$2</c:f>
              <c:strCache>
                <c:ptCount val="1"/>
                <c:pt idx="0">
                  <c:v>1-6/2017</c:v>
                </c:pt>
              </c:strCache>
            </c:strRef>
          </c:tx>
          <c:invertIfNegative val="0"/>
          <c:dLbls>
            <c:dLbl>
              <c:idx val="0"/>
              <c:layout>
                <c:manualLayout>
                  <c:x val="2.19654578153883E-3"/>
                  <c:y val="-1.9194860916358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983784561176429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5898042553901798E-3"/>
                  <c:y val="2.680377281606919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7">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Вътрешен пазар</c:v>
                </c:pt>
                <c:pt idx="1">
                  <c:v>Износ</c:v>
                </c:pt>
                <c:pt idx="2">
                  <c:v>Общо</c:v>
                </c:pt>
              </c:strCache>
            </c:strRef>
          </c:cat>
          <c:val>
            <c:numRef>
              <c:f>'Графика п-би'!$C$3:$C$5</c:f>
              <c:numCache>
                <c:formatCode>#,##0;\(#,##0\)</c:formatCode>
                <c:ptCount val="3"/>
                <c:pt idx="0">
                  <c:v>33023</c:v>
                </c:pt>
                <c:pt idx="1">
                  <c:v>60284</c:v>
                </c:pt>
                <c:pt idx="2">
                  <c:v>93307</c:v>
                </c:pt>
              </c:numCache>
            </c:numRef>
          </c:val>
        </c:ser>
        <c:dLbls>
          <c:showLegendKey val="0"/>
          <c:showVal val="0"/>
          <c:showCatName val="0"/>
          <c:showSerName val="0"/>
          <c:showPercent val="0"/>
          <c:showBubbleSize val="0"/>
        </c:dLbls>
        <c:gapWidth val="150"/>
        <c:axId val="146173312"/>
        <c:axId val="147443072"/>
      </c:barChart>
      <c:catAx>
        <c:axId val="14617331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47443072"/>
        <c:crosses val="autoZero"/>
        <c:auto val="1"/>
        <c:lblAlgn val="ctr"/>
        <c:lblOffset val="100"/>
        <c:noMultiLvlLbl val="0"/>
      </c:catAx>
      <c:valAx>
        <c:axId val="147443072"/>
        <c:scaling>
          <c:orientation val="minMax"/>
        </c:scaling>
        <c:delete val="0"/>
        <c:axPos val="l"/>
        <c:minorGridlines/>
        <c:title>
          <c:tx>
            <c:rich>
              <a:bodyPr/>
              <a:lstStyle/>
              <a:p>
                <a:pPr>
                  <a:defRPr sz="1000" b="1" i="0" u="none" strike="noStrike" baseline="0">
                    <a:solidFill>
                      <a:srgbClr val="000000"/>
                    </a:solidFill>
                    <a:latin typeface="Calibri"/>
                    <a:ea typeface="Calibri"/>
                    <a:cs typeface="Calibri"/>
                  </a:defRPr>
                </a:pPr>
                <a:r>
                  <a:rPr lang="bg-BG"/>
                  <a:t>хил.лв.</a:t>
                </a:r>
              </a:p>
            </c:rich>
          </c:tx>
          <c:overlay val="0"/>
        </c:title>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46173312"/>
        <c:crosses val="autoZero"/>
        <c:crossBetween val="between"/>
      </c:valAx>
    </c:plotArea>
    <c:legend>
      <c:legendPos val="r"/>
      <c:layout>
        <c:manualLayout>
          <c:xMode val="edge"/>
          <c:yMode val="edge"/>
          <c:x val="0.867088607594937"/>
          <c:y val="0.26627281057323499"/>
          <c:w val="0.121835443037975"/>
          <c:h val="0.59171784000372696"/>
        </c:manualLayout>
      </c:layout>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doughnutChart>
        <c:varyColors val="1"/>
        <c:ser>
          <c:idx val="2"/>
          <c:order val="0"/>
          <c:dPt>
            <c:idx val="0"/>
            <c:bubble3D val="0"/>
          </c:dPt>
          <c:dPt>
            <c:idx val="1"/>
            <c:bubble3D val="0"/>
          </c:dPt>
          <c:dPt>
            <c:idx val="2"/>
            <c:bubble3D val="0"/>
          </c:dPt>
          <c:dLbls>
            <c:dLbl>
              <c:idx val="0"/>
              <c:tx>
                <c:rich>
                  <a:bodyPr/>
                  <a:lstStyle/>
                  <a:p>
                    <a:r>
                      <a:rPr lang="mr-IN"/>
                      <a:t>52%</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mr-IN"/>
                      <a:t>12%</a:t>
                    </a:r>
                  </a:p>
                </c:rich>
              </c:tx>
              <c:showLegendKey val="0"/>
              <c:showVal val="0"/>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региони!$J$3:$J$5</c:f>
              <c:strCache>
                <c:ptCount val="3"/>
                <c:pt idx="0">
                  <c:v>Европа</c:v>
                </c:pt>
                <c:pt idx="1">
                  <c:v>България</c:v>
                </c:pt>
                <c:pt idx="2">
                  <c:v>Други</c:v>
                </c:pt>
              </c:strCache>
            </c:strRef>
          </c:cat>
          <c:val>
            <c:numRef>
              <c:f>региони!$K$3:$K$5</c:f>
              <c:numCache>
                <c:formatCode>0.00%</c:formatCode>
                <c:ptCount val="3"/>
                <c:pt idx="0">
                  <c:v>0.52</c:v>
                </c:pt>
                <c:pt idx="1">
                  <c:v>0.36</c:v>
                </c:pt>
                <c:pt idx="2" formatCode="0.0%">
                  <c:v>0.12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9642969628796403"/>
          <c:y val="3.1847133757961797E-2"/>
          <c:w val="0.27142894638170201"/>
          <c:h val="0.87898356654462795"/>
        </c:manualLayout>
      </c:layout>
      <c:overlay val="0"/>
      <c:txPr>
        <a:bodyPr/>
        <a:lstStyle/>
        <a:p>
          <a:pPr>
            <a:defRPr sz="845" b="0" i="0" u="none" strike="noStrike" baseline="0">
              <a:solidFill>
                <a:srgbClr val="000000"/>
              </a:solidFill>
              <a:latin typeface="Calibri"/>
              <a:ea typeface="Calibri"/>
              <a:cs typeface="Calibri"/>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0.117633273781954"/>
          <c:w val="0.53997197384225304"/>
          <c:h val="0.59271342245010095"/>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3"/>
              <c:layout>
                <c:manualLayout>
                  <c:x val="3.9215686274509803E-3"/>
                  <c:y val="-1.367521367521369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15783546858623E-3"/>
                  <c:y val="-5.5315226284973498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21559363903042E-2"/>
                  <c:y val="-7.7769971061309701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65016501650165E-2"/>
                  <c:y val="1.3495276653171399E-2"/>
                </c:manualLayout>
              </c:layout>
              <c:showLegendKey val="0"/>
              <c:showVal val="0"/>
              <c:showCatName val="0"/>
              <c:showSerName val="0"/>
              <c:showPercent val="1"/>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'т-ца форми'!$K$3:$K$9</c:f>
              <c:strCache>
                <c:ptCount val="7"/>
                <c:pt idx="0">
                  <c:v>Таблети</c:v>
                </c:pt>
                <c:pt idx="1">
                  <c:v>Ампули</c:v>
                </c:pt>
                <c:pt idx="2">
                  <c:v>Унгвенти</c:v>
                </c:pt>
                <c:pt idx="3">
                  <c:v>Сиропи</c:v>
                </c:pt>
                <c:pt idx="4">
                  <c:v>Лиофилни продукти</c:v>
                </c:pt>
                <c:pt idx="5">
                  <c:v>Инхалатори</c:v>
                </c:pt>
                <c:pt idx="6">
                  <c:v>Други</c:v>
                </c:pt>
              </c:strCache>
            </c:strRef>
          </c:cat>
          <c:val>
            <c:numRef>
              <c:f>'т-ца форми'!$L$3:$L$9</c:f>
              <c:numCache>
                <c:formatCode>0%</c:formatCode>
                <c:ptCount val="7"/>
                <c:pt idx="0">
                  <c:v>0.69</c:v>
                </c:pt>
                <c:pt idx="1">
                  <c:v>0.17</c:v>
                </c:pt>
                <c:pt idx="2">
                  <c:v>0.05</c:v>
                </c:pt>
                <c:pt idx="3">
                  <c:v>0.04</c:v>
                </c:pt>
                <c:pt idx="4">
                  <c:v>0.03</c:v>
                </c:pt>
                <c:pt idx="5">
                  <c:v>0.01</c:v>
                </c:pt>
                <c:pt idx="6">
                  <c:v>0.01</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egendEntry>
        <c:idx val="0"/>
        <c:txPr>
          <a:bodyPr/>
          <a:lstStyle/>
          <a:p>
            <a:pPr>
              <a:defRPr sz="800" b="0" i="0" u="none" strike="noStrike" baseline="0">
                <a:solidFill>
                  <a:srgbClr val="000000"/>
                </a:solidFill>
                <a:latin typeface="Calibri"/>
                <a:ea typeface="Calibri"/>
                <a:cs typeface="Calibri"/>
              </a:defRPr>
            </a:pPr>
            <a:endParaRPr lang="bg-BG"/>
          </a:p>
        </c:txPr>
      </c:legendEntry>
      <c:layout>
        <c:manualLayout>
          <c:xMode val="edge"/>
          <c:yMode val="edge"/>
          <c:x val="0.56355932203389902"/>
          <c:y val="3.5353535353535297E-2"/>
          <c:w val="0.38559322033898302"/>
          <c:h val="0.91919669132267601"/>
        </c:manualLayout>
      </c:layout>
      <c:overlay val="0"/>
      <c:txPr>
        <a:bodyPr/>
        <a:lstStyle/>
        <a:p>
          <a:pPr>
            <a:defRPr sz="800" b="0" i="0" u="none" strike="noStrike" baseline="0">
              <a:solidFill>
                <a:srgbClr val="000000"/>
              </a:solidFill>
              <a:latin typeface="Calibri"/>
              <a:ea typeface="Calibri"/>
              <a:cs typeface="Calibri"/>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0882301477021301"/>
          <c:w val="0.48426414378811"/>
          <c:h val="0.45004052938612399"/>
        </c:manualLayout>
      </c:layout>
      <c:doughnutChart>
        <c:varyColors val="1"/>
        <c:ser>
          <c:idx val="0"/>
          <c:order val="0"/>
          <c:tx>
            <c:strRef>
              <c:f>АТС!$A$15:$A$22</c:f>
              <c:strCache>
                <c:ptCount val="1"/>
                <c:pt idx="0">
                  <c:v>N Нервна система A Храносмилателна система и метаболизъм C Сърдечносъдова система R Дихателна система G Пикочополова система и полови хормони H Системни хормонални препарати с изкл. на полови хормони и инсулини M Мускулно-скелетна система Други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tx>
                <c:rich>
                  <a:bodyPr/>
                  <a:lstStyle/>
                  <a:p>
                    <a:r>
                      <a:rPr lang="mr-IN"/>
                      <a:t>37%</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mr-IN"/>
                      <a:t>8%</a:t>
                    </a:r>
                  </a:p>
                </c:rich>
              </c:tx>
              <c:showLegendKey val="0"/>
              <c:showVal val="0"/>
              <c:showCatName val="0"/>
              <c:showSerName val="0"/>
              <c:showPercent val="0"/>
              <c:showBubbleSize val="0"/>
              <c:extLst>
                <c:ext xmlns:c15="http://schemas.microsoft.com/office/drawing/2012/chart" uri="{CE6537A1-D6FC-4f65-9D91-7224C49458BB}"/>
              </c:extLst>
            </c:dLbl>
            <c:dLbl>
              <c:idx val="4"/>
              <c:layout>
                <c:manualLayout>
                  <c:x val="3.1298904538341202E-3"/>
                  <c:y val="-1.38888964834299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7664652383568302E-2"/>
                  <c:y val="-4.8611142994880702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7664652383568302E-2"/>
                  <c:y val="-6.1123482013727901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9.3896713615023494E-3"/>
                  <c:y val="-1.3888896483429799E-2"/>
                </c:manualLayout>
              </c:layout>
              <c:showLegendKey val="0"/>
              <c:showVal val="0"/>
              <c:showCatName val="0"/>
              <c:showSerName val="0"/>
              <c:showPercent val="1"/>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Calibri"/>
                    <a:ea typeface="Calibri"/>
                    <a:cs typeface="Calibri"/>
                  </a:defRPr>
                </a:pPr>
                <a:endParaRPr lang="bg-BG"/>
              </a:p>
            </c:txPr>
            <c:showLegendKey val="0"/>
            <c:showVal val="0"/>
            <c:showCatName val="0"/>
            <c:showSerName val="0"/>
            <c:showPercent val="1"/>
            <c:showBubbleSize val="0"/>
            <c:showLeaderLines val="0"/>
            <c:extLst>
              <c:ext xmlns:c15="http://schemas.microsoft.com/office/drawing/2012/chart" uri="{CE6537A1-D6FC-4f65-9D91-7224C49458BB}"/>
            </c:extLst>
          </c:dLbls>
          <c:cat>
            <c:strRef>
              <c:f>АТС!$A$15:$A$22</c:f>
              <c:strCache>
                <c:ptCount val="8"/>
                <c:pt idx="0">
                  <c:v>N Нервна система</c:v>
                </c:pt>
                <c:pt idx="1">
                  <c:v>A Храносмилателна система и метаболизъм</c:v>
                </c:pt>
                <c:pt idx="2">
                  <c:v>C Сърдечносъдова система</c:v>
                </c:pt>
                <c:pt idx="3">
                  <c:v>R Дихателна система</c:v>
                </c:pt>
                <c:pt idx="4">
                  <c:v>G Пикочополова система и полови хормони</c:v>
                </c:pt>
                <c:pt idx="5">
                  <c:v>H Системни хормонални препарати с изкл. на полови хормони и инсулини</c:v>
                </c:pt>
                <c:pt idx="6">
                  <c:v>M Мускулно-скелетна система</c:v>
                </c:pt>
                <c:pt idx="7">
                  <c:v>Други</c:v>
                </c:pt>
              </c:strCache>
            </c:strRef>
          </c:cat>
          <c:val>
            <c:numRef>
              <c:f>АТС!$B$15:$B$22</c:f>
              <c:numCache>
                <c:formatCode>0%</c:formatCode>
                <c:ptCount val="8"/>
                <c:pt idx="0">
                  <c:v>0.37</c:v>
                </c:pt>
                <c:pt idx="1">
                  <c:v>0.28000000000000003</c:v>
                </c:pt>
                <c:pt idx="2">
                  <c:v>0.13</c:v>
                </c:pt>
                <c:pt idx="3">
                  <c:v>0.08</c:v>
                </c:pt>
                <c:pt idx="4">
                  <c:v>0.03</c:v>
                </c:pt>
                <c:pt idx="5">
                  <c:v>0.03</c:v>
                </c:pt>
                <c:pt idx="6">
                  <c:v>0.03</c:v>
                </c:pt>
                <c:pt idx="7">
                  <c:v>0.05</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egendEntry>
        <c:idx val="2"/>
        <c:txPr>
          <a:bodyPr/>
          <a:lstStyle/>
          <a:p>
            <a:pPr>
              <a:defRPr sz="700" b="0" i="0" u="none" strike="noStrike" baseline="0">
                <a:solidFill>
                  <a:srgbClr val="000000"/>
                </a:solidFill>
                <a:latin typeface="Calibri"/>
                <a:ea typeface="Calibri"/>
                <a:cs typeface="Calibri"/>
              </a:defRPr>
            </a:pPr>
            <a:endParaRPr lang="bg-BG"/>
          </a:p>
        </c:txPr>
      </c:legendEntry>
      <c:layout>
        <c:manualLayout>
          <c:xMode val="edge"/>
          <c:yMode val="edge"/>
          <c:x val="0.49936628643852998"/>
          <c:y val="1.7032017339295999E-3"/>
          <c:w val="0.50063371356147002"/>
          <c:h val="0.99829683833690397"/>
        </c:manualLayout>
      </c:layout>
      <c:overlay val="0"/>
      <c:txPr>
        <a:bodyPr/>
        <a:lstStyle/>
        <a:p>
          <a:pPr>
            <a:defRPr sz="700" b="0" i="0" u="none" strike="noStrike" baseline="0">
              <a:solidFill>
                <a:srgbClr val="000000"/>
              </a:solidFill>
              <a:latin typeface="Calibri"/>
              <a:ea typeface="Calibri"/>
              <a:cs typeface="Calibri"/>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Фин.рез!$B$1</c:f>
              <c:strCache>
                <c:ptCount val="1"/>
                <c:pt idx="0">
                  <c:v>1-6/2016</c:v>
                </c:pt>
              </c:strCache>
            </c:strRef>
          </c:tx>
          <c:spPr>
            <a:solidFill>
              <a:schemeClr val="accent1">
                <a:lumMod val="60000"/>
                <a:lumOff val="40000"/>
              </a:schemeClr>
            </a:solidFill>
          </c:spPr>
          <c:invertIfNegative val="0"/>
          <c:dLbls>
            <c:dLbl>
              <c:idx val="0"/>
              <c:layout>
                <c:manualLayout>
                  <c:x val="0"/>
                  <c:y val="4.1187737599734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FC-49BE-9452-463347CADFBA}"/>
                </c:ext>
                <c:ext xmlns:c15="http://schemas.microsoft.com/office/drawing/2012/chart" uri="{CE6537A1-D6FC-4f65-9D91-7224C49458BB}"/>
              </c:extLst>
            </c:dLbl>
            <c:dLbl>
              <c:idx val="1"/>
              <c:layout>
                <c:manualLayout>
                  <c:x val="0"/>
                  <c:y val="5.76628326396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FC-49BE-9452-463347CADFBA}"/>
                </c:ext>
                <c:ext xmlns:c15="http://schemas.microsoft.com/office/drawing/2012/chart" uri="{CE6537A1-D6FC-4f65-9D91-7224C49458BB}"/>
              </c:extLst>
            </c:dLbl>
            <c:dLbl>
              <c:idx val="2"/>
              <c:layout>
                <c:manualLayout>
                  <c:x val="9.4184486545236804E-17"/>
                  <c:y val="4.1187737599734299E-2"/>
                </c:manualLayout>
              </c:layout>
              <c:tx>
                <c:rich>
                  <a:bodyPr/>
                  <a:lstStyle/>
                  <a:p>
                    <a:r>
                      <a:rPr lang="ru-RU"/>
                      <a:t> 33 758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FC-49BE-9452-463347CADFB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Фин.рез!$A$2:$A$4</c:f>
              <c:strCache>
                <c:ptCount val="3"/>
                <c:pt idx="0">
                  <c:v>EBITDA</c:v>
                </c:pt>
                <c:pt idx="1">
                  <c:v>оперативна печалба</c:v>
                </c:pt>
                <c:pt idx="2">
                  <c:v>нетна печалба</c:v>
                </c:pt>
              </c:strCache>
            </c:strRef>
          </c:cat>
          <c:val>
            <c:numRef>
              <c:f>Фин.рез!$B$2:$B$4</c:f>
              <c:numCache>
                <c:formatCode>#,##0</c:formatCode>
                <c:ptCount val="3"/>
                <c:pt idx="0">
                  <c:v>21318</c:v>
                </c:pt>
                <c:pt idx="1">
                  <c:v>14310</c:v>
                </c:pt>
                <c:pt idx="2">
                  <c:v>33758</c:v>
                </c:pt>
              </c:numCache>
            </c:numRef>
          </c:val>
          <c:extLst xmlns:c16r2="http://schemas.microsoft.com/office/drawing/2015/06/chart">
            <c:ext xmlns:c16="http://schemas.microsoft.com/office/drawing/2014/chart" uri="{C3380CC4-5D6E-409C-BE32-E72D297353CC}">
              <c16:uniqueId val="{00000003-8AFC-49BE-9452-463347CADFBA}"/>
            </c:ext>
          </c:extLst>
        </c:ser>
        <c:ser>
          <c:idx val="1"/>
          <c:order val="1"/>
          <c:tx>
            <c:strRef>
              <c:f>Фин.рез!$C$1</c:f>
              <c:strCache>
                <c:ptCount val="1"/>
                <c:pt idx="0">
                  <c:v>1-6/2017</c:v>
                </c:pt>
              </c:strCache>
            </c:strRef>
          </c:tx>
          <c:spPr>
            <a:solidFill>
              <a:schemeClr val="accent1">
                <a:lumMod val="75000"/>
              </a:schemeClr>
            </a:solidFill>
          </c:spPr>
          <c:invertIfNegative val="0"/>
          <c:dLbls>
            <c:dLbl>
              <c:idx val="0"/>
              <c:layout>
                <c:manualLayout>
                  <c:x val="6.6009457660988601E-3"/>
                  <c:y val="2.90110856633595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FC-49BE-9452-463347CADFBA}"/>
                </c:ext>
                <c:ext xmlns:c15="http://schemas.microsoft.com/office/drawing/2012/chart" uri="{CE6537A1-D6FC-4f65-9D91-7224C49458BB}"/>
              </c:extLst>
            </c:dLbl>
            <c:dLbl>
              <c:idx val="1"/>
              <c:layout>
                <c:manualLayout>
                  <c:x val="0"/>
                  <c:y val="4.942528511968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FC-49BE-9452-463347CADFBA}"/>
                </c:ext>
                <c:ext xmlns:c15="http://schemas.microsoft.com/office/drawing/2012/chart" uri="{CE6537A1-D6FC-4f65-9D91-7224C49458BB}"/>
              </c:extLst>
            </c:dLbl>
            <c:dLbl>
              <c:idx val="2"/>
              <c:layout>
                <c:manualLayout>
                  <c:x val="6.3952746643685899E-3"/>
                  <c:y val="4.1187891825290403E-2"/>
                </c:manualLayout>
              </c:layout>
              <c:tx>
                <c:rich>
                  <a:bodyPr/>
                  <a:lstStyle/>
                  <a:p>
                    <a:pPr>
                      <a:defRPr/>
                    </a:pPr>
                    <a:r>
                      <a:rPr lang="is-IS"/>
                      <a:t>31 642</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AFC-49BE-9452-463347CADFB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Фин.рез!$A$2:$A$4</c:f>
              <c:strCache>
                <c:ptCount val="3"/>
                <c:pt idx="0">
                  <c:v>EBITDA</c:v>
                </c:pt>
                <c:pt idx="1">
                  <c:v>оперативна печалба</c:v>
                </c:pt>
                <c:pt idx="2">
                  <c:v>нетна печалба</c:v>
                </c:pt>
              </c:strCache>
            </c:strRef>
          </c:cat>
          <c:val>
            <c:numRef>
              <c:f>Фин.рез!$C$2:$C$4</c:f>
              <c:numCache>
                <c:formatCode>#,##0</c:formatCode>
                <c:ptCount val="3"/>
                <c:pt idx="0">
                  <c:v>32048</c:v>
                </c:pt>
                <c:pt idx="1">
                  <c:v>24698</c:v>
                </c:pt>
                <c:pt idx="2">
                  <c:v>31642</c:v>
                </c:pt>
              </c:numCache>
            </c:numRef>
          </c:val>
          <c:extLst xmlns:c16r2="http://schemas.microsoft.com/office/drawing/2015/06/chart">
            <c:ext xmlns:c16="http://schemas.microsoft.com/office/drawing/2014/chart" uri="{C3380CC4-5D6E-409C-BE32-E72D297353CC}">
              <c16:uniqueId val="{00000007-8AFC-49BE-9452-463347CADFBA}"/>
            </c:ext>
          </c:extLst>
        </c:ser>
        <c:dLbls>
          <c:showLegendKey val="0"/>
          <c:showVal val="0"/>
          <c:showCatName val="0"/>
          <c:showSerName val="0"/>
          <c:showPercent val="0"/>
          <c:showBubbleSize val="0"/>
        </c:dLbls>
        <c:gapWidth val="150"/>
        <c:axId val="184236288"/>
        <c:axId val="184272768"/>
      </c:barChart>
      <c:catAx>
        <c:axId val="184236288"/>
        <c:scaling>
          <c:orientation val="minMax"/>
        </c:scaling>
        <c:delete val="0"/>
        <c:axPos val="b"/>
        <c:numFmt formatCode="General" sourceLinked="1"/>
        <c:majorTickMark val="out"/>
        <c:minorTickMark val="none"/>
        <c:tickLblPos val="nextTo"/>
        <c:crossAx val="184272768"/>
        <c:crosses val="autoZero"/>
        <c:auto val="1"/>
        <c:lblAlgn val="ctr"/>
        <c:lblOffset val="100"/>
        <c:noMultiLvlLbl val="0"/>
      </c:catAx>
      <c:valAx>
        <c:axId val="184272768"/>
        <c:scaling>
          <c:orientation val="minMax"/>
          <c:min val="0"/>
        </c:scaling>
        <c:delete val="0"/>
        <c:axPos val="l"/>
        <c:majorGridlines/>
        <c:title>
          <c:tx>
            <c:rich>
              <a:bodyPr/>
              <a:lstStyle/>
              <a:p>
                <a:pPr>
                  <a:defRPr/>
                </a:pPr>
                <a:r>
                  <a:rPr lang="bg-BG"/>
                  <a:t>хил. лв.</a:t>
                </a:r>
              </a:p>
            </c:rich>
          </c:tx>
          <c:overlay val="0"/>
        </c:title>
        <c:numFmt formatCode="#,##0" sourceLinked="1"/>
        <c:majorTickMark val="out"/>
        <c:minorTickMark val="none"/>
        <c:tickLblPos val="nextTo"/>
        <c:crossAx val="184236288"/>
        <c:crosses val="autoZero"/>
        <c:crossBetween val="between"/>
        <c:majorUnit val="10000"/>
      </c:valAx>
      <c:spPr>
        <a:noFill/>
      </c:spPr>
    </c:plotArea>
    <c:legend>
      <c:legendPos val="r"/>
      <c:overlay val="0"/>
    </c:legend>
    <c:plotVisOnly val="1"/>
    <c:dispBlanksAs val="gap"/>
    <c:showDLblsOverMax val="0"/>
  </c:chart>
  <c:spPr>
    <a:noFill/>
    <a:ln>
      <a:noFill/>
    </a:ln>
  </c:spPr>
  <c:txPr>
    <a:bodyPr/>
    <a:lstStyle/>
    <a:p>
      <a:pPr>
        <a:defRPr sz="1000"/>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F48AC-5F76-4DB4-8880-85EA0D247BBB}">
  <ds:schemaRefs>
    <ds:schemaRef ds:uri="http://schemas.openxmlformats.org/officeDocument/2006/bibliography"/>
  </ds:schemaRefs>
</ds:datastoreItem>
</file>

<file path=customXml/itemProps2.xml><?xml version="1.0" encoding="utf-8"?>
<ds:datastoreItem xmlns:ds="http://schemas.openxmlformats.org/officeDocument/2006/customXml" ds:itemID="{E9D31906-C4BD-426A-A8F1-F128F7E2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6660</Words>
  <Characters>37962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2017-07-31T09:30:00Z</dcterms:created>
  <dcterms:modified xsi:type="dcterms:W3CDTF">2017-07-31T09:30:00Z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