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1F" w:rsidRPr="00FF7B55" w:rsidRDefault="00C2371F" w:rsidP="00C2371F">
      <w:pPr>
        <w:autoSpaceDE w:val="0"/>
        <w:autoSpaceDN w:val="0"/>
        <w:spacing w:after="240" w:line="360" w:lineRule="atLeast"/>
        <w:jc w:val="center"/>
        <w:rPr>
          <w:rFonts w:asciiTheme="minorHAnsi" w:hAnsiTheme="minorHAnsi" w:cs="Times"/>
          <w:sz w:val="28"/>
          <w:szCs w:val="28"/>
          <w:lang w:val="en-US"/>
        </w:rPr>
      </w:pPr>
      <w:proofErr w:type="gramStart"/>
      <w:r w:rsidRPr="00FF7B55">
        <w:rPr>
          <w:rFonts w:asciiTheme="minorHAnsi" w:hAnsiTheme="minorHAnsi"/>
          <w:b/>
          <w:sz w:val="28"/>
          <w:szCs w:val="28"/>
          <w:lang w:val="en-US"/>
        </w:rPr>
        <w:t>List of insider information under Art.</w:t>
      </w:r>
      <w:proofErr w:type="gramEnd"/>
      <w:r w:rsidRPr="00FF7B55">
        <w:rPr>
          <w:rFonts w:asciiTheme="minorHAnsi" w:hAnsiTheme="minorHAnsi"/>
          <w:b/>
          <w:sz w:val="28"/>
          <w:szCs w:val="28"/>
          <w:lang w:val="en-US"/>
        </w:rPr>
        <w:t xml:space="preserve"> 7 of Regulation (EU) 596/2014 of the European Parliament and of the Council of 16 April 2014 regarding market abuse (Regulation on market abuse</w:t>
      </w:r>
      <w:r w:rsidRPr="00FF7B55">
        <w:rPr>
          <w:rFonts w:asciiTheme="minorHAnsi" w:hAnsiTheme="minorHAnsi"/>
          <w:sz w:val="28"/>
          <w:szCs w:val="28"/>
          <w:lang w:val="en-US"/>
        </w:rPr>
        <w:t>)</w:t>
      </w:r>
      <w:r w:rsidR="004E1DAD" w:rsidRPr="00FF7B55">
        <w:rPr>
          <w:rFonts w:asciiTheme="minorHAnsi" w:hAnsiTheme="minorHAnsi"/>
          <w:sz w:val="28"/>
          <w:szCs w:val="28"/>
          <w:lang w:val="en-US"/>
        </w:rPr>
        <w:t xml:space="preserve">, </w:t>
      </w:r>
      <w:r w:rsidR="000C6D09">
        <w:rPr>
          <w:rFonts w:asciiTheme="minorHAnsi" w:hAnsiTheme="minorHAnsi"/>
          <w:b/>
          <w:sz w:val="28"/>
          <w:szCs w:val="28"/>
          <w:lang w:val="en-US"/>
        </w:rPr>
        <w:t>3</w:t>
      </w:r>
      <w:r w:rsidR="000C6D09">
        <w:rPr>
          <w:rFonts w:asciiTheme="minorHAnsi" w:hAnsiTheme="minorHAnsi"/>
          <w:b/>
          <w:sz w:val="28"/>
          <w:szCs w:val="28"/>
        </w:rPr>
        <w:t>1</w:t>
      </w:r>
      <w:r w:rsidR="000C6D09">
        <w:rPr>
          <w:rFonts w:asciiTheme="minorHAnsi" w:hAnsiTheme="minorHAnsi"/>
          <w:b/>
          <w:sz w:val="28"/>
          <w:szCs w:val="28"/>
          <w:lang w:val="en-US"/>
        </w:rPr>
        <w:t>.0</w:t>
      </w:r>
      <w:r w:rsidR="000C6D09">
        <w:rPr>
          <w:rFonts w:asciiTheme="minorHAnsi" w:hAnsiTheme="minorHAnsi"/>
          <w:b/>
          <w:sz w:val="28"/>
          <w:szCs w:val="28"/>
        </w:rPr>
        <w:t>3</w:t>
      </w:r>
      <w:r w:rsidR="000C6D09">
        <w:rPr>
          <w:rFonts w:asciiTheme="minorHAnsi" w:hAnsiTheme="minorHAnsi"/>
          <w:b/>
          <w:sz w:val="28"/>
          <w:szCs w:val="28"/>
          <w:lang w:val="en-US"/>
        </w:rPr>
        <w:t>.201</w:t>
      </w:r>
      <w:r w:rsidR="000C6D09">
        <w:rPr>
          <w:rFonts w:asciiTheme="minorHAnsi" w:hAnsiTheme="minorHAnsi"/>
          <w:b/>
          <w:sz w:val="28"/>
          <w:szCs w:val="28"/>
        </w:rPr>
        <w:t>7</w:t>
      </w:r>
      <w:r w:rsidR="008A53AF" w:rsidRPr="00FF7B55">
        <w:rPr>
          <w:rFonts w:asciiTheme="minorHAnsi" w:hAnsiTheme="minorHAnsi"/>
          <w:sz w:val="28"/>
          <w:szCs w:val="28"/>
          <w:lang w:val="en-US"/>
        </w:rPr>
        <w:t xml:space="preserve"> </w:t>
      </w:r>
    </w:p>
    <w:p w:rsidR="00193621" w:rsidRPr="00FF7B55" w:rsidRDefault="00193621">
      <w:pPr>
        <w:rPr>
          <w:rFonts w:asciiTheme="minorHAnsi" w:hAnsiTheme="minorHAnsi"/>
          <w:b/>
          <w:sz w:val="24"/>
          <w:szCs w:val="24"/>
          <w:lang w:val="en-US"/>
        </w:rPr>
      </w:pPr>
    </w:p>
    <w:p w:rsidR="007F29CE" w:rsidRPr="00FF7B55" w:rsidRDefault="007F29CE">
      <w:pPr>
        <w:rPr>
          <w:rFonts w:asciiTheme="minorHAnsi" w:hAnsiTheme="minorHAnsi"/>
          <w:b/>
          <w:sz w:val="24"/>
          <w:szCs w:val="24"/>
          <w:lang w:val="en-US"/>
        </w:rPr>
      </w:pPr>
    </w:p>
    <w:p w:rsidR="00501DF5" w:rsidRPr="00FF7B55" w:rsidRDefault="00501DF5" w:rsidP="00501DF5">
      <w:pPr>
        <w:autoSpaceDE w:val="0"/>
        <w:rPr>
          <w:rFonts w:asciiTheme="minorHAnsi" w:hAnsiTheme="minorHAnsi"/>
          <w:b/>
          <w:sz w:val="24"/>
          <w:szCs w:val="24"/>
          <w:lang w:val="en-US"/>
        </w:rPr>
      </w:pPr>
      <w:r w:rsidRPr="00FF7B55">
        <w:rPr>
          <w:rFonts w:asciiTheme="minorHAnsi" w:hAnsiTheme="minorHAnsi"/>
          <w:b/>
          <w:sz w:val="24"/>
          <w:szCs w:val="24"/>
          <w:lang w:val="en-US"/>
        </w:rPr>
        <w:t>Dated</w:t>
      </w:r>
      <w:r w:rsidR="007F29CE" w:rsidRPr="00FF7B55">
        <w:rPr>
          <w:rFonts w:asciiTheme="minorHAnsi" w:hAnsiTheme="minorHAnsi"/>
          <w:b/>
          <w:sz w:val="24"/>
          <w:szCs w:val="24"/>
          <w:lang w:val="en-US"/>
        </w:rPr>
        <w:t xml:space="preserve"> 6 January 2017</w:t>
      </w:r>
    </w:p>
    <w:p w:rsidR="001F6F9C" w:rsidRPr="00FF7B55" w:rsidRDefault="001F6F9C" w:rsidP="001F6F9C">
      <w:pPr>
        <w:autoSpaceDE w:val="0"/>
        <w:autoSpaceDN w:val="0"/>
        <w:adjustRightInd w:val="0"/>
        <w:jc w:val="center"/>
        <w:rPr>
          <w:rFonts w:asciiTheme="minorHAnsi" w:hAnsiTheme="minorHAnsi"/>
          <w:b/>
          <w:sz w:val="24"/>
          <w:szCs w:val="24"/>
          <w:lang w:val="en-US"/>
        </w:rPr>
      </w:pPr>
      <w:r w:rsidRPr="00FF7B55">
        <w:rPr>
          <w:rFonts w:asciiTheme="minorHAnsi" w:hAnsiTheme="minorHAnsi"/>
          <w:b/>
          <w:sz w:val="24"/>
          <w:szCs w:val="24"/>
          <w:lang w:val="en-US"/>
        </w:rPr>
        <w:t>NOTIFICATION</w:t>
      </w:r>
    </w:p>
    <w:p w:rsidR="007F29CE" w:rsidRPr="00FF7B55" w:rsidRDefault="007F29CE" w:rsidP="001F6F9C">
      <w:pPr>
        <w:autoSpaceDE w:val="0"/>
        <w:autoSpaceDN w:val="0"/>
        <w:adjustRightInd w:val="0"/>
        <w:jc w:val="center"/>
        <w:rPr>
          <w:rFonts w:asciiTheme="minorHAnsi" w:hAnsiTheme="minorHAnsi"/>
          <w:b/>
          <w:sz w:val="24"/>
          <w:szCs w:val="24"/>
          <w:lang w:val="en-US"/>
        </w:rPr>
      </w:pPr>
    </w:p>
    <w:p w:rsidR="007F29CE" w:rsidRPr="00FF7B55" w:rsidRDefault="007F29CE" w:rsidP="001F6F9C">
      <w:pPr>
        <w:autoSpaceDE w:val="0"/>
        <w:autoSpaceDN w:val="0"/>
        <w:adjustRightInd w:val="0"/>
        <w:jc w:val="center"/>
        <w:rPr>
          <w:rFonts w:asciiTheme="minorHAnsi" w:hAnsiTheme="minorHAnsi"/>
          <w:b/>
          <w:sz w:val="24"/>
          <w:szCs w:val="24"/>
          <w:lang w:val="en-US"/>
        </w:rPr>
      </w:pP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 xml:space="preserve">2017 starts with good news concerning the registration and further development of our product </w:t>
      </w:r>
      <w:proofErr w:type="spellStart"/>
      <w:r w:rsidRPr="00FF7B55">
        <w:rPr>
          <w:rFonts w:asciiTheme="minorHAnsi" w:hAnsiTheme="minorHAnsi"/>
          <w:sz w:val="24"/>
          <w:szCs w:val="24"/>
          <w:lang w:val="en-US"/>
        </w:rPr>
        <w:t>Tabex</w:t>
      </w:r>
      <w:proofErr w:type="spellEnd"/>
      <w:r w:rsidRPr="00FF7B55">
        <w:rPr>
          <w:rFonts w:asciiTheme="minorHAnsi" w:hAnsiTheme="minorHAnsi"/>
          <w:sz w:val="24"/>
          <w:szCs w:val="24"/>
          <w:lang w:val="en-US"/>
        </w:rPr>
        <w:t xml:space="preserve">. The buyer of the share of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in </w:t>
      </w:r>
      <w:proofErr w:type="spellStart"/>
      <w:r w:rsidRPr="00FF7B55">
        <w:rPr>
          <w:rFonts w:asciiTheme="minorHAnsi" w:hAnsiTheme="minorHAnsi"/>
          <w:sz w:val="24"/>
          <w:szCs w:val="24"/>
          <w:lang w:val="en-US"/>
        </w:rPr>
        <w:t>Extab</w:t>
      </w:r>
      <w:proofErr w:type="spellEnd"/>
      <w:r w:rsidRPr="00FF7B55">
        <w:rPr>
          <w:rFonts w:asciiTheme="minorHAnsi" w:hAnsiTheme="minorHAnsi"/>
          <w:sz w:val="24"/>
          <w:szCs w:val="24"/>
          <w:lang w:val="en-US"/>
        </w:rPr>
        <w:t xml:space="preserve"> – Achieve – is undertaking a merger with another strong player in the development and registration of innovative medicines – </w:t>
      </w:r>
      <w:proofErr w:type="spellStart"/>
      <w:r w:rsidRPr="00FF7B55">
        <w:rPr>
          <w:rFonts w:asciiTheme="minorHAnsi" w:hAnsiTheme="minorHAnsi"/>
          <w:sz w:val="24"/>
          <w:szCs w:val="24"/>
          <w:lang w:val="en-US"/>
        </w:rPr>
        <w:t>Oncogenex</w:t>
      </w:r>
      <w:proofErr w:type="spellEnd"/>
      <w:r w:rsidRPr="00FF7B55">
        <w:rPr>
          <w:rFonts w:asciiTheme="minorHAnsi" w:hAnsiTheme="minorHAnsi"/>
          <w:sz w:val="24"/>
          <w:szCs w:val="24"/>
          <w:lang w:val="en-US"/>
        </w:rPr>
        <w:t>, a publicly traded company on NASDAQ (</w:t>
      </w:r>
      <w:hyperlink r:id="rId7" w:history="1">
        <w:r w:rsidR="000C6D09" w:rsidRPr="001F6306">
          <w:rPr>
            <w:rStyle w:val="a5"/>
            <w:rFonts w:asciiTheme="minorHAnsi" w:hAnsiTheme="minorHAnsi"/>
            <w:sz w:val="24"/>
            <w:szCs w:val="24"/>
            <w:lang w:val="en-US"/>
          </w:rPr>
          <w:t>http://in.reuters.com/article/idINFWN1EV0QP</w:t>
        </w:r>
      </w:hyperlink>
      <w:r w:rsidRPr="00FF7B55">
        <w:rPr>
          <w:rFonts w:asciiTheme="minorHAnsi" w:hAnsiTheme="minorHAnsi"/>
          <w:sz w:val="24"/>
          <w:szCs w:val="24"/>
          <w:lang w:val="en-US"/>
        </w:rPr>
        <w:t xml:space="preserve">). The procedure is expected to be completed by </w:t>
      </w:r>
      <w:proofErr w:type="spellStart"/>
      <w:r w:rsidRPr="00FF7B55">
        <w:rPr>
          <w:rFonts w:asciiTheme="minorHAnsi" w:hAnsiTheme="minorHAnsi"/>
          <w:sz w:val="24"/>
          <w:szCs w:val="24"/>
          <w:lang w:val="en-US"/>
        </w:rPr>
        <w:t>mid 2017</w:t>
      </w:r>
      <w:proofErr w:type="spellEnd"/>
      <w:r w:rsidRPr="00FF7B55">
        <w:rPr>
          <w:rFonts w:asciiTheme="minorHAnsi" w:hAnsiTheme="minorHAnsi"/>
          <w:sz w:val="24"/>
          <w:szCs w:val="24"/>
          <w:lang w:val="en-US"/>
        </w:rPr>
        <w:t xml:space="preserve"> subject to approval from the US FSC.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will own approximately 3.5% in the newly created company, which will aim at filing the IND for </w:t>
      </w:r>
      <w:proofErr w:type="spellStart"/>
      <w:r w:rsidRPr="00FF7B55">
        <w:rPr>
          <w:rFonts w:asciiTheme="minorHAnsi" w:hAnsiTheme="minorHAnsi"/>
          <w:sz w:val="24"/>
          <w:szCs w:val="24"/>
          <w:lang w:val="en-US"/>
        </w:rPr>
        <w:t>Tabex</w:t>
      </w:r>
      <w:proofErr w:type="spellEnd"/>
      <w:r w:rsidRPr="00FF7B55">
        <w:rPr>
          <w:rFonts w:asciiTheme="minorHAnsi" w:hAnsiTheme="minorHAnsi"/>
          <w:sz w:val="24"/>
          <w:szCs w:val="24"/>
          <w:lang w:val="en-US"/>
        </w:rPr>
        <w:t xml:space="preserve"> in 2017.</w:t>
      </w: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 xml:space="preserve"> </w:t>
      </w: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 xml:space="preserve">Apart from the work on </w:t>
      </w:r>
      <w:proofErr w:type="spellStart"/>
      <w:r w:rsidRPr="00FF7B55">
        <w:rPr>
          <w:rFonts w:asciiTheme="minorHAnsi" w:hAnsiTheme="minorHAnsi"/>
          <w:sz w:val="24"/>
          <w:szCs w:val="24"/>
          <w:lang w:val="en-US"/>
        </w:rPr>
        <w:t>Tabex</w:t>
      </w:r>
      <w:proofErr w:type="spellEnd"/>
      <w:r w:rsidRPr="00FF7B55">
        <w:rPr>
          <w:rFonts w:asciiTheme="minorHAnsi" w:hAnsiTheme="minorHAnsi"/>
          <w:sz w:val="24"/>
          <w:szCs w:val="24"/>
          <w:lang w:val="en-US"/>
        </w:rPr>
        <w:t>, the new company is also active in the development of other medicines, including one to facilitate the process of treating certain types of cancer.</w:t>
      </w:r>
    </w:p>
    <w:p w:rsidR="00501DF5" w:rsidRPr="00FF7B55" w:rsidRDefault="00501DF5" w:rsidP="00501DF5">
      <w:pPr>
        <w:autoSpaceDE w:val="0"/>
        <w:rPr>
          <w:rFonts w:asciiTheme="minorHAnsi" w:hAnsiTheme="minorHAnsi"/>
          <w:sz w:val="24"/>
          <w:szCs w:val="24"/>
          <w:lang w:val="en-US"/>
        </w:rPr>
      </w:pPr>
    </w:p>
    <w:p w:rsidR="007F29CE" w:rsidRPr="00FF7B55" w:rsidRDefault="007F29CE" w:rsidP="007F29CE">
      <w:pPr>
        <w:autoSpaceDE w:val="0"/>
        <w:rPr>
          <w:rFonts w:asciiTheme="minorHAnsi" w:hAnsiTheme="minorHAnsi"/>
          <w:b/>
          <w:sz w:val="24"/>
          <w:szCs w:val="24"/>
          <w:lang w:val="en-US"/>
        </w:rPr>
      </w:pPr>
      <w:r w:rsidRPr="00FF7B55">
        <w:rPr>
          <w:rFonts w:asciiTheme="minorHAnsi" w:hAnsiTheme="minorHAnsi"/>
          <w:b/>
          <w:sz w:val="24"/>
          <w:szCs w:val="24"/>
          <w:lang w:val="en-US"/>
        </w:rPr>
        <w:t>Dated 9 January 2017</w:t>
      </w:r>
    </w:p>
    <w:p w:rsidR="007F29CE" w:rsidRPr="00FF7B55" w:rsidRDefault="007F29CE" w:rsidP="007F29CE">
      <w:pPr>
        <w:autoSpaceDE w:val="0"/>
        <w:autoSpaceDN w:val="0"/>
        <w:adjustRightInd w:val="0"/>
        <w:jc w:val="center"/>
        <w:rPr>
          <w:rFonts w:asciiTheme="minorHAnsi" w:hAnsiTheme="minorHAnsi"/>
          <w:b/>
          <w:sz w:val="24"/>
          <w:szCs w:val="24"/>
          <w:lang w:val="en-US"/>
        </w:rPr>
      </w:pPr>
      <w:r w:rsidRPr="00FF7B55">
        <w:rPr>
          <w:rFonts w:asciiTheme="minorHAnsi" w:hAnsiTheme="minorHAnsi"/>
          <w:b/>
          <w:sz w:val="24"/>
          <w:szCs w:val="24"/>
          <w:lang w:val="en-US"/>
        </w:rPr>
        <w:t>NOTIFICATION</w:t>
      </w:r>
    </w:p>
    <w:p w:rsidR="007F29CE" w:rsidRPr="00FF7B55" w:rsidRDefault="007F29CE" w:rsidP="007F29CE">
      <w:pPr>
        <w:autoSpaceDE w:val="0"/>
        <w:autoSpaceDN w:val="0"/>
        <w:adjustRightInd w:val="0"/>
        <w:jc w:val="center"/>
        <w:rPr>
          <w:rFonts w:asciiTheme="minorHAnsi" w:hAnsiTheme="minorHAnsi"/>
          <w:b/>
          <w:sz w:val="24"/>
          <w:szCs w:val="24"/>
          <w:lang w:val="en-US"/>
        </w:rPr>
      </w:pPr>
    </w:p>
    <w:p w:rsidR="007F29CE" w:rsidRPr="00FF7B55" w:rsidRDefault="007F29CE" w:rsidP="007F29CE">
      <w:pPr>
        <w:autoSpaceDE w:val="0"/>
        <w:autoSpaceDN w:val="0"/>
        <w:adjustRightInd w:val="0"/>
        <w:jc w:val="both"/>
        <w:rPr>
          <w:rFonts w:asciiTheme="minorHAnsi" w:hAnsiTheme="minorHAnsi"/>
          <w:sz w:val="24"/>
          <w:szCs w:val="24"/>
          <w:lang w:val="en-US"/>
        </w:rPr>
      </w:pP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hereby notifies that the revenues from sales for 2016 decrease with 5% compared to 2015, including 2% decrease in domestic sales mainly due to the overall market price erosion (for the same period the company has a 7% increase in sales in packages) and a 6% decrease in export sales.</w:t>
      </w: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ab/>
      </w: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 xml:space="preserve">“In the past few months we see some signs for economic and political stabilization in Russia, which give us certain security for the results of 2017. We are optimistic for the trend of recovery of the sales in the Ukraine. After the restructuring of our export activities our local teams work systematically for the increase of the results on a number of markets like Poland, Belarus, Latvia, etc. We are very proud with the successful registrations of new products which we are yet to develop. An excellent example is </w:t>
      </w:r>
      <w:proofErr w:type="spellStart"/>
      <w:r w:rsidRPr="00FF7B55">
        <w:rPr>
          <w:rFonts w:asciiTheme="minorHAnsi" w:hAnsiTheme="minorHAnsi"/>
          <w:sz w:val="24"/>
          <w:szCs w:val="24"/>
          <w:lang w:val="en-US"/>
        </w:rPr>
        <w:t>Tuspan</w:t>
      </w:r>
      <w:proofErr w:type="spellEnd"/>
      <w:r w:rsidRPr="00FF7B55">
        <w:rPr>
          <w:rFonts w:asciiTheme="minorHAnsi" w:hAnsiTheme="minorHAnsi"/>
          <w:sz w:val="24"/>
          <w:szCs w:val="24"/>
          <w:lang w:val="en-US"/>
        </w:rPr>
        <w:t xml:space="preserve"> – the coughing syrup, which will be available on a number of European markets even this year in case of successful and timely procedures. This year started with </w:t>
      </w:r>
      <w:proofErr w:type="gramStart"/>
      <w:r w:rsidRPr="00FF7B55">
        <w:rPr>
          <w:rFonts w:asciiTheme="minorHAnsi" w:hAnsiTheme="minorHAnsi"/>
          <w:sz w:val="24"/>
          <w:szCs w:val="24"/>
          <w:lang w:val="en-US"/>
        </w:rPr>
        <w:t>a long</w:t>
      </w:r>
      <w:proofErr w:type="gramEnd"/>
      <w:r w:rsidRPr="00FF7B55">
        <w:rPr>
          <w:rFonts w:asciiTheme="minorHAnsi" w:hAnsiTheme="minorHAnsi"/>
          <w:sz w:val="24"/>
          <w:szCs w:val="24"/>
          <w:lang w:val="en-US"/>
        </w:rPr>
        <w:t xml:space="preserve">-awaited news concerning our project of registration of our product </w:t>
      </w:r>
      <w:proofErr w:type="spellStart"/>
      <w:r w:rsidRPr="00FF7B55">
        <w:rPr>
          <w:rFonts w:asciiTheme="minorHAnsi" w:hAnsiTheme="minorHAnsi"/>
          <w:sz w:val="24"/>
          <w:szCs w:val="24"/>
          <w:lang w:val="en-US"/>
        </w:rPr>
        <w:t>Tabex</w:t>
      </w:r>
      <w:proofErr w:type="spellEnd"/>
      <w:r w:rsidRPr="00FF7B55">
        <w:rPr>
          <w:rFonts w:asciiTheme="minorHAnsi" w:hAnsiTheme="minorHAnsi"/>
          <w:sz w:val="24"/>
          <w:szCs w:val="24"/>
          <w:lang w:val="en-US"/>
        </w:rPr>
        <w:t xml:space="preserve"> in the USA. In case a restructuring takes place between Achieve and </w:t>
      </w:r>
      <w:proofErr w:type="spellStart"/>
      <w:r w:rsidRPr="00FF7B55">
        <w:rPr>
          <w:rFonts w:asciiTheme="minorHAnsi" w:hAnsiTheme="minorHAnsi"/>
          <w:sz w:val="24"/>
          <w:szCs w:val="24"/>
          <w:lang w:val="en-US"/>
        </w:rPr>
        <w:t>Oncogenex</w:t>
      </w:r>
      <w:proofErr w:type="spellEnd"/>
      <w:r w:rsidRPr="00FF7B55">
        <w:rPr>
          <w:rFonts w:asciiTheme="minorHAnsi" w:hAnsiTheme="minorHAnsi"/>
          <w:sz w:val="24"/>
          <w:szCs w:val="24"/>
          <w:lang w:val="en-US"/>
        </w:rPr>
        <w:t xml:space="preserve"> (our remaining shares in the capital of </w:t>
      </w:r>
      <w:proofErr w:type="spellStart"/>
      <w:r w:rsidRPr="00FF7B55">
        <w:rPr>
          <w:rFonts w:asciiTheme="minorHAnsi" w:hAnsiTheme="minorHAnsi"/>
          <w:sz w:val="24"/>
          <w:szCs w:val="24"/>
          <w:lang w:val="en-US"/>
        </w:rPr>
        <w:t>Extab</w:t>
      </w:r>
      <w:proofErr w:type="spellEnd"/>
      <w:r w:rsidRPr="00FF7B55">
        <w:rPr>
          <w:rFonts w:asciiTheme="minorHAnsi" w:hAnsiTheme="minorHAnsi"/>
          <w:sz w:val="24"/>
          <w:szCs w:val="24"/>
          <w:lang w:val="en-US"/>
        </w:rPr>
        <w:t xml:space="preserve"> will be transformed in shares in Achieve in case of such restructuring) there will be two advantages for us: first, the new joint team of the two companies will have a much bigger chance of a successful registration of </w:t>
      </w:r>
      <w:proofErr w:type="spellStart"/>
      <w:r w:rsidRPr="00FF7B55">
        <w:rPr>
          <w:rFonts w:asciiTheme="minorHAnsi" w:hAnsiTheme="minorHAnsi"/>
          <w:sz w:val="24"/>
          <w:szCs w:val="24"/>
          <w:lang w:val="en-US"/>
        </w:rPr>
        <w:t>Tabex</w:t>
      </w:r>
      <w:proofErr w:type="spellEnd"/>
      <w:r w:rsidRPr="00FF7B55">
        <w:rPr>
          <w:rFonts w:asciiTheme="minorHAnsi" w:hAnsiTheme="minorHAnsi"/>
          <w:sz w:val="24"/>
          <w:szCs w:val="24"/>
          <w:lang w:val="en-US"/>
        </w:rPr>
        <w:t xml:space="preserve"> and second,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will become a shareholder in a public </w:t>
      </w:r>
      <w:proofErr w:type="gramStart"/>
      <w:r w:rsidRPr="00FF7B55">
        <w:rPr>
          <w:rFonts w:asciiTheme="minorHAnsi" w:hAnsiTheme="minorHAnsi"/>
          <w:sz w:val="24"/>
          <w:szCs w:val="24"/>
          <w:lang w:val="en-US"/>
        </w:rPr>
        <w:t>company</w:t>
      </w:r>
      <w:proofErr w:type="gramEnd"/>
      <w:r w:rsidRPr="00FF7B55">
        <w:rPr>
          <w:rFonts w:asciiTheme="minorHAnsi" w:hAnsiTheme="minorHAnsi"/>
          <w:sz w:val="24"/>
          <w:szCs w:val="24"/>
          <w:lang w:val="en-US"/>
        </w:rPr>
        <w:t xml:space="preserve"> traded on NASDAQ.”, says </w:t>
      </w:r>
      <w:proofErr w:type="spellStart"/>
      <w:r w:rsidRPr="00FF7B55">
        <w:rPr>
          <w:rFonts w:asciiTheme="minorHAnsi" w:hAnsiTheme="minorHAnsi"/>
          <w:sz w:val="24"/>
          <w:szCs w:val="24"/>
          <w:lang w:val="en-US"/>
        </w:rPr>
        <w:t>Ognian</w:t>
      </w:r>
      <w:proofErr w:type="spellEnd"/>
      <w:r w:rsidRPr="00FF7B55">
        <w:rPr>
          <w:rFonts w:asciiTheme="minorHAnsi" w:hAnsiTheme="minorHAnsi"/>
          <w:sz w:val="24"/>
          <w:szCs w:val="24"/>
          <w:lang w:val="en-US"/>
        </w:rPr>
        <w:t xml:space="preserve"> </w:t>
      </w:r>
      <w:proofErr w:type="spellStart"/>
      <w:r w:rsidRPr="00FF7B55">
        <w:rPr>
          <w:rFonts w:asciiTheme="minorHAnsi" w:hAnsiTheme="minorHAnsi"/>
          <w:sz w:val="24"/>
          <w:szCs w:val="24"/>
          <w:lang w:val="en-US"/>
        </w:rPr>
        <w:t>Donev</w:t>
      </w:r>
      <w:proofErr w:type="spellEnd"/>
      <w:r w:rsidRPr="00FF7B55">
        <w:rPr>
          <w:rFonts w:asciiTheme="minorHAnsi" w:hAnsiTheme="minorHAnsi"/>
          <w:sz w:val="24"/>
          <w:szCs w:val="24"/>
          <w:lang w:val="en-US"/>
        </w:rPr>
        <w:t>, PhD, Executive Director and Chairman of the Board of Directors,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AD.</w:t>
      </w:r>
    </w:p>
    <w:p w:rsidR="007F29CE" w:rsidRPr="00FF7B55" w:rsidRDefault="007F29CE" w:rsidP="007F29CE">
      <w:pPr>
        <w:autoSpaceDE w:val="0"/>
        <w:autoSpaceDN w:val="0"/>
        <w:adjustRightInd w:val="0"/>
        <w:jc w:val="both"/>
        <w:rPr>
          <w:rFonts w:asciiTheme="minorHAnsi" w:hAnsiTheme="minorHAnsi"/>
          <w:sz w:val="24"/>
          <w:szCs w:val="24"/>
          <w:lang w:val="en-US"/>
        </w:rPr>
      </w:pPr>
    </w:p>
    <w:p w:rsidR="007F29CE" w:rsidRPr="00FF7B55" w:rsidRDefault="007F29CE" w:rsidP="007F29CE">
      <w:pPr>
        <w:autoSpaceDE w:val="0"/>
        <w:autoSpaceDN w:val="0"/>
        <w:adjustRightInd w:val="0"/>
        <w:jc w:val="center"/>
        <w:rPr>
          <w:rFonts w:asciiTheme="minorHAnsi" w:hAnsiTheme="minorHAnsi"/>
          <w:b/>
          <w:sz w:val="24"/>
          <w:szCs w:val="24"/>
          <w:lang w:val="en-US"/>
        </w:rPr>
      </w:pPr>
    </w:p>
    <w:p w:rsidR="007F29CE" w:rsidRPr="00FF7B55" w:rsidRDefault="007F29CE" w:rsidP="007F29CE">
      <w:pPr>
        <w:autoSpaceDE w:val="0"/>
        <w:rPr>
          <w:rFonts w:asciiTheme="minorHAnsi" w:hAnsiTheme="minorHAnsi"/>
          <w:b/>
          <w:sz w:val="24"/>
          <w:szCs w:val="24"/>
          <w:lang w:val="en-US"/>
        </w:rPr>
      </w:pPr>
      <w:r w:rsidRPr="00FF7B55">
        <w:rPr>
          <w:rFonts w:asciiTheme="minorHAnsi" w:hAnsiTheme="minorHAnsi"/>
          <w:b/>
          <w:sz w:val="24"/>
          <w:szCs w:val="24"/>
          <w:lang w:val="en-US"/>
        </w:rPr>
        <w:lastRenderedPageBreak/>
        <w:t>Dated 2 February 2017</w:t>
      </w:r>
    </w:p>
    <w:p w:rsidR="005B716B" w:rsidRPr="00FF7B55" w:rsidRDefault="005B716B" w:rsidP="005B716B">
      <w:pPr>
        <w:autoSpaceDE w:val="0"/>
        <w:autoSpaceDN w:val="0"/>
        <w:adjustRightInd w:val="0"/>
        <w:jc w:val="center"/>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5B716B" w:rsidRPr="00FF7B55" w:rsidRDefault="005B716B" w:rsidP="005B716B">
      <w:pPr>
        <w:autoSpaceDE w:val="0"/>
        <w:autoSpaceDN w:val="0"/>
        <w:adjustRightInd w:val="0"/>
        <w:rPr>
          <w:rFonts w:asciiTheme="minorHAnsi" w:hAnsiTheme="minorHAnsi" w:cs="TimesNewRoman"/>
          <w:sz w:val="24"/>
          <w:szCs w:val="24"/>
          <w:lang w:val="en-US"/>
        </w:rPr>
      </w:pPr>
    </w:p>
    <w:p w:rsidR="005B716B" w:rsidRPr="00FF7B55" w:rsidRDefault="005B716B" w:rsidP="005B716B">
      <w:pPr>
        <w:autoSpaceDE w:val="0"/>
        <w:autoSpaceDN w:val="0"/>
        <w:adjustRightInd w:val="0"/>
        <w:rPr>
          <w:rFonts w:asciiTheme="minorHAnsi" w:hAnsiTheme="minorHAnsi" w:cs="TimesNewRoman"/>
          <w:sz w:val="24"/>
          <w:szCs w:val="24"/>
          <w:lang w:val="en-US"/>
        </w:rPr>
      </w:pPr>
    </w:p>
    <w:p w:rsidR="005B716B" w:rsidRPr="00FF7B55" w:rsidRDefault="005B716B" w:rsidP="005B716B">
      <w:pPr>
        <w:autoSpaceDE w:val="0"/>
        <w:autoSpaceDN w:val="0"/>
        <w:adjustRightInd w:val="0"/>
        <w:ind w:firstLine="720"/>
        <w:jc w:val="both"/>
        <w:rPr>
          <w:rFonts w:asciiTheme="minorHAnsi" w:hAnsiTheme="minorHAnsi"/>
          <w:sz w:val="24"/>
          <w:szCs w:val="24"/>
          <w:lang w:val="en-US"/>
        </w:rPr>
      </w:pP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announces that on 31 January, 2017 in accordance with art. 262e and the following from the Commercial Code </w:t>
      </w:r>
      <w:proofErr w:type="spellStart"/>
      <w:r w:rsidRPr="00FF7B55">
        <w:rPr>
          <w:rFonts w:asciiTheme="minorHAnsi" w:hAnsiTheme="minorHAnsi"/>
          <w:sz w:val="24"/>
          <w:szCs w:val="24"/>
          <w:lang w:val="en-US"/>
        </w:rPr>
        <w:t>Medica</w:t>
      </w:r>
      <w:proofErr w:type="spellEnd"/>
      <w:r w:rsidRPr="00FF7B55">
        <w:rPr>
          <w:rFonts w:asciiTheme="minorHAnsi" w:hAnsiTheme="minorHAnsi"/>
          <w:sz w:val="24"/>
          <w:szCs w:val="24"/>
          <w:lang w:val="en-US"/>
        </w:rPr>
        <w:t xml:space="preserve"> AD and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signed a contract for transformation through merger of </w:t>
      </w:r>
      <w:proofErr w:type="spellStart"/>
      <w:r w:rsidRPr="00FF7B55">
        <w:rPr>
          <w:rFonts w:asciiTheme="minorHAnsi" w:hAnsiTheme="minorHAnsi"/>
          <w:sz w:val="24"/>
          <w:szCs w:val="24"/>
          <w:lang w:val="en-US"/>
        </w:rPr>
        <w:t>Medica</w:t>
      </w:r>
      <w:proofErr w:type="spellEnd"/>
      <w:r w:rsidRPr="00FF7B55">
        <w:rPr>
          <w:rFonts w:asciiTheme="minorHAnsi" w:hAnsiTheme="minorHAnsi"/>
          <w:sz w:val="24"/>
          <w:szCs w:val="24"/>
          <w:lang w:val="en-US"/>
        </w:rPr>
        <w:t xml:space="preserve"> AD in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and the respective consequences following that decision. The fair price of the participants in the transformation is based on widely accepted evaluation methods. Based on the fair price the participants in the transformation reached a ratio of exchange of 0.9486, meaning that one share of </w:t>
      </w:r>
      <w:proofErr w:type="spellStart"/>
      <w:r w:rsidRPr="00FF7B55">
        <w:rPr>
          <w:rFonts w:asciiTheme="minorHAnsi" w:hAnsiTheme="minorHAnsi"/>
          <w:sz w:val="24"/>
          <w:szCs w:val="24"/>
          <w:lang w:val="en-US"/>
        </w:rPr>
        <w:t>Medica</w:t>
      </w:r>
      <w:proofErr w:type="spellEnd"/>
      <w:r w:rsidRPr="00FF7B55">
        <w:rPr>
          <w:rFonts w:asciiTheme="minorHAnsi" w:hAnsiTheme="minorHAnsi"/>
          <w:sz w:val="24"/>
          <w:szCs w:val="24"/>
          <w:lang w:val="en-US"/>
        </w:rPr>
        <w:t xml:space="preserve"> AD will be exchanged for 0.9486 shares of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The companies have hired the services of certified appraisers whose report is a necessary prerequisite for the filing of the documents for transformation with the FSC. As of this moment the deputy Chairman “Investment Supervision” has not issued an approval in accordance with art. 124 from the LPOS of the transformation contract, of the reports of the </w:t>
      </w:r>
      <w:proofErr w:type="spellStart"/>
      <w:r w:rsidRPr="00FF7B55">
        <w:rPr>
          <w:rFonts w:asciiTheme="minorHAnsi" w:hAnsiTheme="minorHAnsi"/>
          <w:sz w:val="24"/>
          <w:szCs w:val="24"/>
          <w:lang w:val="en-US"/>
        </w:rPr>
        <w:t>BoD</w:t>
      </w:r>
      <w:proofErr w:type="spellEnd"/>
      <w:r w:rsidRPr="00FF7B55">
        <w:rPr>
          <w:rFonts w:asciiTheme="minorHAnsi" w:hAnsiTheme="minorHAnsi"/>
          <w:sz w:val="24"/>
          <w:szCs w:val="24"/>
          <w:lang w:val="en-US"/>
        </w:rPr>
        <w:t xml:space="preserve"> according to art. </w:t>
      </w:r>
      <w:proofErr w:type="gramStart"/>
      <w:r w:rsidRPr="00FF7B55">
        <w:rPr>
          <w:rFonts w:asciiTheme="minorHAnsi" w:hAnsiTheme="minorHAnsi"/>
          <w:sz w:val="24"/>
          <w:szCs w:val="24"/>
          <w:lang w:val="en-US"/>
        </w:rPr>
        <w:t>262k from the Commercial code and the report of the appraiser under art.</w:t>
      </w:r>
      <w:proofErr w:type="gramEnd"/>
      <w:r w:rsidRPr="00FF7B55">
        <w:rPr>
          <w:rFonts w:asciiTheme="minorHAnsi" w:hAnsiTheme="minorHAnsi"/>
          <w:sz w:val="24"/>
          <w:szCs w:val="24"/>
          <w:lang w:val="en-US"/>
        </w:rPr>
        <w:t xml:space="preserve"> </w:t>
      </w:r>
      <w:proofErr w:type="gramStart"/>
      <w:r w:rsidRPr="00FF7B55">
        <w:rPr>
          <w:rFonts w:asciiTheme="minorHAnsi" w:hAnsiTheme="minorHAnsi"/>
          <w:sz w:val="24"/>
          <w:szCs w:val="24"/>
          <w:lang w:val="en-US"/>
        </w:rPr>
        <w:t>262o from the Commercial Code.</w:t>
      </w:r>
      <w:proofErr w:type="gramEnd"/>
    </w:p>
    <w:p w:rsidR="005B716B" w:rsidRPr="00FF7B55" w:rsidRDefault="005B716B" w:rsidP="007F29CE">
      <w:pPr>
        <w:autoSpaceDE w:val="0"/>
        <w:rPr>
          <w:rFonts w:asciiTheme="minorHAnsi" w:hAnsiTheme="minorHAnsi"/>
          <w:b/>
          <w:sz w:val="24"/>
          <w:szCs w:val="24"/>
          <w:lang w:val="en-US"/>
        </w:rPr>
      </w:pPr>
    </w:p>
    <w:p w:rsidR="005B716B" w:rsidRPr="00FF7B55" w:rsidRDefault="005B716B" w:rsidP="007F29CE">
      <w:pPr>
        <w:autoSpaceDE w:val="0"/>
        <w:rPr>
          <w:rFonts w:asciiTheme="minorHAnsi" w:hAnsiTheme="minorHAnsi"/>
          <w:b/>
          <w:sz w:val="24"/>
          <w:szCs w:val="24"/>
          <w:lang w:val="en-US"/>
        </w:rPr>
      </w:pPr>
      <w:r w:rsidRPr="00FF7B55">
        <w:rPr>
          <w:rFonts w:asciiTheme="minorHAnsi" w:hAnsiTheme="minorHAnsi"/>
          <w:b/>
          <w:sz w:val="24"/>
          <w:szCs w:val="24"/>
          <w:lang w:val="en-US"/>
        </w:rPr>
        <w:t>Dated 3 February 2017</w:t>
      </w:r>
    </w:p>
    <w:p w:rsidR="00CD2F5F" w:rsidRPr="00FF7B55" w:rsidRDefault="00CD2F5F" w:rsidP="007F29CE">
      <w:pPr>
        <w:autoSpaceDE w:val="0"/>
        <w:rPr>
          <w:rFonts w:asciiTheme="minorHAnsi" w:hAnsiTheme="minorHAnsi"/>
          <w:b/>
          <w:sz w:val="24"/>
          <w:szCs w:val="24"/>
          <w:lang w:val="en-US"/>
        </w:rPr>
      </w:pPr>
    </w:p>
    <w:p w:rsidR="00501DF5" w:rsidRPr="00FF7B55" w:rsidRDefault="007F29CE" w:rsidP="007F29CE">
      <w:pPr>
        <w:autoSpaceDE w:val="0"/>
        <w:jc w:val="center"/>
        <w:rPr>
          <w:rFonts w:asciiTheme="minorHAnsi" w:hAnsiTheme="minorHAnsi"/>
          <w:b/>
          <w:sz w:val="24"/>
          <w:szCs w:val="24"/>
          <w:lang w:val="en-US"/>
        </w:rPr>
      </w:pPr>
      <w:r w:rsidRPr="00FF7B55">
        <w:rPr>
          <w:rFonts w:asciiTheme="minorHAnsi" w:hAnsiTheme="minorHAnsi"/>
          <w:b/>
          <w:sz w:val="24"/>
          <w:szCs w:val="24"/>
          <w:lang w:val="en-US"/>
        </w:rPr>
        <w:t>NOTIFICATION</w:t>
      </w:r>
    </w:p>
    <w:p w:rsidR="007F29CE" w:rsidRPr="00FF7B55" w:rsidRDefault="007F29CE" w:rsidP="007F29CE">
      <w:pPr>
        <w:autoSpaceDE w:val="0"/>
        <w:jc w:val="center"/>
        <w:rPr>
          <w:rFonts w:asciiTheme="minorHAnsi" w:hAnsiTheme="minorHAnsi"/>
          <w:b/>
          <w:sz w:val="24"/>
          <w:szCs w:val="24"/>
          <w:lang w:val="en-US"/>
        </w:rPr>
      </w:pPr>
    </w:p>
    <w:p w:rsidR="003F517F" w:rsidRPr="00FF7B55" w:rsidRDefault="003F517F" w:rsidP="003F517F">
      <w:pPr>
        <w:ind w:firstLine="360"/>
        <w:jc w:val="both"/>
        <w:rPr>
          <w:rFonts w:asciiTheme="minorHAnsi" w:hAnsiTheme="minorHAnsi"/>
          <w:sz w:val="24"/>
          <w:szCs w:val="24"/>
          <w:lang w:val="en-US" w:eastAsia="en-US"/>
        </w:rPr>
      </w:pPr>
      <w:r w:rsidRPr="00FF7B55">
        <w:rPr>
          <w:rFonts w:asciiTheme="minorHAnsi" w:hAnsiTheme="minorHAnsi"/>
          <w:sz w:val="24"/>
          <w:szCs w:val="24"/>
          <w:lang w:val="en-US" w:eastAsia="en-US"/>
        </w:rPr>
        <w:t>For the first month of this year, revenues from sales decreased by 4% compared to the same period of 2015, including 5% decrease of domestic sales and 4% decrease of export sales.</w:t>
      </w:r>
    </w:p>
    <w:p w:rsidR="00CD2F5F" w:rsidRPr="00FF7B55" w:rsidRDefault="00CD2F5F" w:rsidP="003F517F">
      <w:pPr>
        <w:ind w:firstLine="360"/>
        <w:jc w:val="both"/>
        <w:rPr>
          <w:rFonts w:asciiTheme="minorHAnsi" w:hAnsiTheme="minorHAnsi"/>
          <w:sz w:val="24"/>
          <w:szCs w:val="24"/>
          <w:lang w:val="en-US" w:eastAsia="en-US"/>
        </w:rPr>
      </w:pPr>
    </w:p>
    <w:p w:rsidR="00CD2F5F" w:rsidRPr="00FF7B55" w:rsidRDefault="00CD2F5F" w:rsidP="00CD2F5F">
      <w:pPr>
        <w:autoSpaceDE w:val="0"/>
        <w:rPr>
          <w:rFonts w:asciiTheme="minorHAnsi" w:hAnsiTheme="minorHAnsi"/>
          <w:b/>
          <w:sz w:val="24"/>
          <w:szCs w:val="24"/>
          <w:lang w:val="en-US"/>
        </w:rPr>
      </w:pPr>
      <w:r w:rsidRPr="00FF7B55">
        <w:rPr>
          <w:rFonts w:asciiTheme="minorHAnsi" w:hAnsiTheme="minorHAnsi"/>
          <w:b/>
          <w:sz w:val="24"/>
          <w:szCs w:val="24"/>
          <w:lang w:val="en-US"/>
        </w:rPr>
        <w:t>Dated 13 February 2017</w:t>
      </w:r>
    </w:p>
    <w:p w:rsidR="007F29CE" w:rsidRPr="00FF7B55" w:rsidRDefault="007F29CE" w:rsidP="00CD2F5F">
      <w:pPr>
        <w:autoSpaceDE w:val="0"/>
        <w:rPr>
          <w:rFonts w:asciiTheme="minorHAnsi" w:hAnsiTheme="minorHAnsi"/>
          <w:sz w:val="24"/>
          <w:szCs w:val="24"/>
          <w:lang w:val="en-US"/>
        </w:rPr>
      </w:pPr>
    </w:p>
    <w:p w:rsidR="00CD2F5F" w:rsidRPr="00FF7B55" w:rsidRDefault="00CD2F5F" w:rsidP="00CD2F5F">
      <w:pPr>
        <w:autoSpaceDE w:val="0"/>
        <w:autoSpaceDN w:val="0"/>
        <w:adjustRightInd w:val="0"/>
        <w:jc w:val="center"/>
        <w:outlineLvl w:val="0"/>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CD2F5F" w:rsidRPr="00FF7B55" w:rsidRDefault="00CD2F5F" w:rsidP="00CD2F5F">
      <w:pPr>
        <w:autoSpaceDE w:val="0"/>
        <w:autoSpaceDN w:val="0"/>
        <w:adjustRightInd w:val="0"/>
        <w:rPr>
          <w:rFonts w:asciiTheme="minorHAnsi" w:hAnsiTheme="minorHAnsi" w:cs="TimesNewRoman"/>
          <w:sz w:val="24"/>
          <w:szCs w:val="24"/>
          <w:lang w:val="en-US"/>
        </w:rPr>
      </w:pPr>
    </w:p>
    <w:p w:rsidR="00CD2F5F" w:rsidRPr="00FF7B55" w:rsidRDefault="00CD2F5F" w:rsidP="00CD2F5F">
      <w:pPr>
        <w:autoSpaceDE w:val="0"/>
        <w:autoSpaceDN w:val="0"/>
        <w:adjustRightInd w:val="0"/>
        <w:rPr>
          <w:rFonts w:asciiTheme="minorHAnsi" w:hAnsiTheme="minorHAnsi" w:cs="TimesNewRoman"/>
          <w:sz w:val="24"/>
          <w:szCs w:val="24"/>
          <w:lang w:val="en-US"/>
        </w:rPr>
      </w:pPr>
    </w:p>
    <w:p w:rsidR="00CD2F5F" w:rsidRPr="00FF7B55" w:rsidRDefault="00CD2F5F" w:rsidP="00CD2F5F">
      <w:pPr>
        <w:autoSpaceDE w:val="0"/>
        <w:autoSpaceDN w:val="0"/>
        <w:adjustRightInd w:val="0"/>
        <w:ind w:firstLine="720"/>
        <w:jc w:val="both"/>
        <w:rPr>
          <w:rFonts w:asciiTheme="minorHAnsi" w:hAnsiTheme="minorHAnsi"/>
          <w:sz w:val="24"/>
          <w:szCs w:val="24"/>
          <w:lang w:val="en-US"/>
        </w:rPr>
      </w:pP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(the “</w:t>
      </w:r>
      <w:r w:rsidRPr="00FF7B55">
        <w:rPr>
          <w:rFonts w:asciiTheme="minorHAnsi" w:hAnsiTheme="minorHAnsi"/>
          <w:bCs/>
          <w:sz w:val="24"/>
          <w:szCs w:val="24"/>
          <w:lang w:val="en-US"/>
        </w:rPr>
        <w:t>Company</w:t>
      </w:r>
      <w:r w:rsidRPr="00FF7B55">
        <w:rPr>
          <w:rFonts w:asciiTheme="minorHAnsi" w:hAnsiTheme="minorHAnsi"/>
          <w:sz w:val="24"/>
          <w:szCs w:val="24"/>
          <w:lang w:val="en-US"/>
        </w:rPr>
        <w:t xml:space="preserve">”) notifies that on 13 February 2017 the Contract for merger, as well as reports of the management bodies of the companies involved in the transformation of the company under art. </w:t>
      </w:r>
      <w:proofErr w:type="gramStart"/>
      <w:r w:rsidRPr="00FF7B55">
        <w:rPr>
          <w:rFonts w:asciiTheme="minorHAnsi" w:hAnsiTheme="minorHAnsi"/>
          <w:sz w:val="24"/>
          <w:szCs w:val="24"/>
          <w:lang w:val="en-US"/>
        </w:rPr>
        <w:t>262i of the CA and the report of the examiner under art.</w:t>
      </w:r>
      <w:proofErr w:type="gramEnd"/>
      <w:r w:rsidRPr="00FF7B55">
        <w:rPr>
          <w:rFonts w:asciiTheme="minorHAnsi" w:hAnsiTheme="minorHAnsi"/>
          <w:sz w:val="24"/>
          <w:szCs w:val="24"/>
          <w:lang w:val="en-US"/>
        </w:rPr>
        <w:t xml:space="preserve"> 262m of the CA for transformation through merger between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Sofia, UIC 831902088 and </w:t>
      </w:r>
      <w:proofErr w:type="spellStart"/>
      <w:r w:rsidRPr="00FF7B55">
        <w:rPr>
          <w:rFonts w:asciiTheme="minorHAnsi" w:hAnsiTheme="minorHAnsi"/>
          <w:sz w:val="24"/>
          <w:szCs w:val="24"/>
          <w:lang w:val="en-US"/>
        </w:rPr>
        <w:t>Medica</w:t>
      </w:r>
      <w:proofErr w:type="spellEnd"/>
      <w:r w:rsidRPr="00FF7B55">
        <w:rPr>
          <w:rFonts w:asciiTheme="minorHAnsi" w:hAnsiTheme="minorHAnsi"/>
          <w:sz w:val="24"/>
          <w:szCs w:val="24"/>
          <w:lang w:val="en-US"/>
        </w:rPr>
        <w:t xml:space="preserve"> AD, Kazanluk, UIC 000000993 </w:t>
      </w:r>
      <w:proofErr w:type="gramStart"/>
      <w:r w:rsidRPr="00FF7B55">
        <w:rPr>
          <w:rFonts w:asciiTheme="minorHAnsi" w:hAnsiTheme="minorHAnsi"/>
          <w:sz w:val="24"/>
          <w:szCs w:val="24"/>
          <w:lang w:val="en-US"/>
        </w:rPr>
        <w:t>were</w:t>
      </w:r>
      <w:proofErr w:type="gramEnd"/>
      <w:r w:rsidRPr="00FF7B55">
        <w:rPr>
          <w:rFonts w:asciiTheme="minorHAnsi" w:hAnsiTheme="minorHAnsi"/>
          <w:sz w:val="24"/>
          <w:szCs w:val="24"/>
          <w:lang w:val="en-US"/>
        </w:rPr>
        <w:t xml:space="preserve"> filed with the FSC for approval pursuant to art. </w:t>
      </w:r>
      <w:proofErr w:type="gramStart"/>
      <w:r w:rsidRPr="00FF7B55">
        <w:rPr>
          <w:rFonts w:asciiTheme="minorHAnsi" w:hAnsiTheme="minorHAnsi"/>
          <w:sz w:val="24"/>
          <w:szCs w:val="24"/>
          <w:lang w:val="en-US"/>
        </w:rPr>
        <w:t>124, par. 1 of the Public Offering of Securities Act (POSA).</w:t>
      </w:r>
      <w:proofErr w:type="gramEnd"/>
      <w:r w:rsidRPr="00FF7B55">
        <w:rPr>
          <w:rFonts w:asciiTheme="minorHAnsi" w:hAnsiTheme="minorHAnsi"/>
          <w:sz w:val="24"/>
          <w:szCs w:val="24"/>
          <w:lang w:val="en-US"/>
        </w:rPr>
        <w:t xml:space="preserve"> As a result of the merger, all assets of </w:t>
      </w:r>
      <w:proofErr w:type="spellStart"/>
      <w:r w:rsidRPr="00FF7B55">
        <w:rPr>
          <w:rFonts w:asciiTheme="minorHAnsi" w:hAnsiTheme="minorHAnsi"/>
          <w:sz w:val="24"/>
          <w:szCs w:val="24"/>
          <w:lang w:val="en-US"/>
        </w:rPr>
        <w:t>Medica</w:t>
      </w:r>
      <w:proofErr w:type="spellEnd"/>
      <w:r w:rsidRPr="00FF7B55">
        <w:rPr>
          <w:rFonts w:asciiTheme="minorHAnsi" w:hAnsiTheme="minorHAnsi"/>
          <w:sz w:val="24"/>
          <w:szCs w:val="24"/>
          <w:lang w:val="en-US"/>
        </w:rPr>
        <w:t xml:space="preserve"> AD shall be transferred to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and the latter shall become its legal successor. </w:t>
      </w:r>
      <w:proofErr w:type="spellStart"/>
      <w:r w:rsidRPr="00FF7B55">
        <w:rPr>
          <w:rFonts w:asciiTheme="minorHAnsi" w:hAnsiTheme="minorHAnsi"/>
          <w:sz w:val="24"/>
          <w:szCs w:val="24"/>
          <w:lang w:val="en-US"/>
        </w:rPr>
        <w:t>Medica</w:t>
      </w:r>
      <w:proofErr w:type="spellEnd"/>
      <w:r w:rsidRPr="00FF7B55">
        <w:rPr>
          <w:rFonts w:asciiTheme="minorHAnsi" w:hAnsiTheme="minorHAnsi"/>
          <w:sz w:val="24"/>
          <w:szCs w:val="24"/>
          <w:lang w:val="en-US"/>
        </w:rPr>
        <w:t xml:space="preserve"> AD shall be terminated without liquidation.</w:t>
      </w:r>
    </w:p>
    <w:p w:rsidR="00CD2F5F" w:rsidRPr="00FF7B55" w:rsidRDefault="00CD2F5F" w:rsidP="00CD2F5F">
      <w:pPr>
        <w:autoSpaceDE w:val="0"/>
        <w:autoSpaceDN w:val="0"/>
        <w:adjustRightInd w:val="0"/>
        <w:ind w:firstLine="720"/>
        <w:jc w:val="both"/>
        <w:rPr>
          <w:rFonts w:asciiTheme="minorHAnsi" w:hAnsiTheme="minorHAnsi"/>
          <w:sz w:val="24"/>
          <w:szCs w:val="24"/>
          <w:lang w:val="en-US"/>
        </w:rPr>
      </w:pPr>
    </w:p>
    <w:p w:rsidR="00CD2F5F" w:rsidRPr="00FF7B55" w:rsidRDefault="00CD2F5F" w:rsidP="00CD2F5F">
      <w:pPr>
        <w:autoSpaceDE w:val="0"/>
        <w:autoSpaceDN w:val="0"/>
        <w:adjustRightInd w:val="0"/>
        <w:ind w:firstLine="720"/>
        <w:jc w:val="both"/>
        <w:rPr>
          <w:rFonts w:asciiTheme="minorHAnsi" w:hAnsiTheme="minorHAnsi"/>
          <w:sz w:val="24"/>
          <w:szCs w:val="24"/>
          <w:lang w:val="en-US"/>
        </w:rPr>
      </w:pPr>
      <w:r w:rsidRPr="00FF7B55">
        <w:rPr>
          <w:rFonts w:asciiTheme="minorHAnsi" w:hAnsiTheme="minorHAnsi"/>
          <w:sz w:val="24"/>
          <w:szCs w:val="24"/>
          <w:lang w:val="en-US"/>
        </w:rPr>
        <w:t xml:space="preserve">As a result of the merger, all shareholders of the transferring company </w:t>
      </w:r>
      <w:proofErr w:type="spellStart"/>
      <w:r w:rsidRPr="00FF7B55">
        <w:rPr>
          <w:rFonts w:asciiTheme="minorHAnsi" w:hAnsiTheme="minorHAnsi"/>
          <w:sz w:val="24"/>
          <w:szCs w:val="24"/>
          <w:lang w:val="en-US"/>
        </w:rPr>
        <w:t>Medica</w:t>
      </w:r>
      <w:proofErr w:type="spellEnd"/>
      <w:r w:rsidRPr="00FF7B55">
        <w:rPr>
          <w:rFonts w:asciiTheme="minorHAnsi" w:hAnsiTheme="minorHAnsi"/>
          <w:sz w:val="24"/>
          <w:szCs w:val="24"/>
          <w:lang w:val="en-US"/>
        </w:rPr>
        <w:t xml:space="preserve"> AD, with the exception of the receiving company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which is also a shareholder of the transferring company, will receive shares of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and become shareholders of it. Against one share of </w:t>
      </w:r>
      <w:proofErr w:type="spellStart"/>
      <w:r w:rsidRPr="00FF7B55">
        <w:rPr>
          <w:rFonts w:asciiTheme="minorHAnsi" w:hAnsiTheme="minorHAnsi"/>
          <w:sz w:val="24"/>
          <w:szCs w:val="24"/>
          <w:lang w:val="en-US"/>
        </w:rPr>
        <w:t>Medica</w:t>
      </w:r>
      <w:proofErr w:type="spellEnd"/>
      <w:r w:rsidRPr="00FF7B55">
        <w:rPr>
          <w:rFonts w:asciiTheme="minorHAnsi" w:hAnsiTheme="minorHAnsi"/>
          <w:sz w:val="24"/>
          <w:szCs w:val="24"/>
          <w:lang w:val="en-US"/>
        </w:rPr>
        <w:t xml:space="preserve"> AD each shareholder pursuant to art. 261b, app. 1 of the CA shall receive 0.9486 treasury shares of the capital of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All other conditions concerning the merger procedure are included in the Contract.</w:t>
      </w:r>
    </w:p>
    <w:p w:rsidR="00B51DD8" w:rsidRPr="00FF7B55" w:rsidRDefault="00B51DD8" w:rsidP="00CD2F5F">
      <w:pPr>
        <w:autoSpaceDE w:val="0"/>
        <w:autoSpaceDN w:val="0"/>
        <w:adjustRightInd w:val="0"/>
        <w:ind w:firstLine="720"/>
        <w:jc w:val="both"/>
        <w:rPr>
          <w:rFonts w:asciiTheme="minorHAnsi" w:hAnsiTheme="minorHAnsi"/>
          <w:sz w:val="24"/>
          <w:szCs w:val="24"/>
          <w:lang w:val="en-US"/>
        </w:rPr>
      </w:pPr>
    </w:p>
    <w:p w:rsidR="00B51DD8" w:rsidRPr="00FF7B55" w:rsidRDefault="00B51DD8" w:rsidP="00B51DD8">
      <w:pPr>
        <w:autoSpaceDE w:val="0"/>
        <w:rPr>
          <w:rFonts w:asciiTheme="minorHAnsi" w:hAnsiTheme="minorHAnsi"/>
          <w:b/>
          <w:sz w:val="24"/>
          <w:szCs w:val="24"/>
          <w:lang w:val="en-US"/>
        </w:rPr>
      </w:pPr>
      <w:r w:rsidRPr="00FF7B55">
        <w:rPr>
          <w:rFonts w:asciiTheme="minorHAnsi" w:hAnsiTheme="minorHAnsi"/>
          <w:b/>
          <w:sz w:val="24"/>
          <w:szCs w:val="24"/>
          <w:lang w:val="en-US"/>
        </w:rPr>
        <w:lastRenderedPageBreak/>
        <w:t>Dated 27 February 2017</w:t>
      </w:r>
    </w:p>
    <w:p w:rsidR="00B51DD8" w:rsidRPr="00FF7B55" w:rsidRDefault="00B51DD8" w:rsidP="00B51DD8">
      <w:pPr>
        <w:autoSpaceDE w:val="0"/>
        <w:rPr>
          <w:rFonts w:asciiTheme="minorHAnsi" w:hAnsiTheme="minorHAnsi"/>
          <w:sz w:val="24"/>
          <w:szCs w:val="24"/>
          <w:lang w:val="en-US"/>
        </w:rPr>
      </w:pP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p>
    <w:p w:rsidR="00B51DD8" w:rsidRDefault="00B51DD8" w:rsidP="00B51DD8">
      <w:pPr>
        <w:autoSpaceDE w:val="0"/>
        <w:autoSpaceDN w:val="0"/>
        <w:adjustRightInd w:val="0"/>
        <w:ind w:firstLine="720"/>
        <w:jc w:val="both"/>
        <w:rPr>
          <w:rFonts w:asciiTheme="minorHAnsi" w:hAnsiTheme="minorHAnsi"/>
          <w:sz w:val="24"/>
          <w:szCs w:val="24"/>
        </w:rPr>
      </w:pP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announces that the Competition Council of The Republic of Moldova allows the acquisition of over 51% of RAP Pharma International SRL by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w:t>
      </w:r>
    </w:p>
    <w:p w:rsidR="000C6D09" w:rsidRPr="000C6D09" w:rsidRDefault="000C6D09" w:rsidP="00B51DD8">
      <w:pPr>
        <w:autoSpaceDE w:val="0"/>
        <w:autoSpaceDN w:val="0"/>
        <w:adjustRightInd w:val="0"/>
        <w:ind w:firstLine="720"/>
        <w:jc w:val="both"/>
        <w:rPr>
          <w:rFonts w:asciiTheme="minorHAnsi" w:hAnsiTheme="minorHAnsi"/>
          <w:sz w:val="24"/>
          <w:szCs w:val="24"/>
        </w:rPr>
      </w:pPr>
    </w:p>
    <w:p w:rsidR="00B51DD8" w:rsidRPr="00FF7B55" w:rsidRDefault="00B51DD8" w:rsidP="00B51DD8">
      <w:pPr>
        <w:autoSpaceDE w:val="0"/>
        <w:rPr>
          <w:rFonts w:asciiTheme="minorHAnsi" w:hAnsiTheme="minorHAnsi"/>
          <w:b/>
          <w:sz w:val="24"/>
          <w:szCs w:val="24"/>
          <w:lang w:val="en-US"/>
        </w:rPr>
      </w:pPr>
      <w:r w:rsidRPr="00FF7B55">
        <w:rPr>
          <w:rFonts w:asciiTheme="minorHAnsi" w:hAnsiTheme="minorHAnsi"/>
          <w:b/>
          <w:sz w:val="24"/>
          <w:szCs w:val="24"/>
          <w:lang w:val="en-US"/>
        </w:rPr>
        <w:t>Dated 7 March 2017</w:t>
      </w:r>
    </w:p>
    <w:p w:rsidR="00B51DD8" w:rsidRPr="00FF7B55" w:rsidRDefault="00B51DD8" w:rsidP="00B51DD8">
      <w:pPr>
        <w:autoSpaceDE w:val="0"/>
        <w:rPr>
          <w:rFonts w:asciiTheme="minorHAnsi" w:hAnsiTheme="minorHAnsi"/>
          <w:sz w:val="24"/>
          <w:szCs w:val="24"/>
          <w:lang w:val="en-US"/>
        </w:rPr>
      </w:pP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CD2F5F" w:rsidRPr="00FF7B55" w:rsidRDefault="00CD2F5F" w:rsidP="007F29CE">
      <w:pPr>
        <w:autoSpaceDE w:val="0"/>
        <w:jc w:val="center"/>
        <w:rPr>
          <w:rFonts w:asciiTheme="minorHAnsi" w:hAnsiTheme="minorHAnsi"/>
          <w:sz w:val="24"/>
          <w:szCs w:val="24"/>
          <w:lang w:val="en-US"/>
        </w:rPr>
      </w:pPr>
    </w:p>
    <w:p w:rsidR="00B51DD8" w:rsidRPr="00FF7B55" w:rsidRDefault="00FF7B55" w:rsidP="00B51DD8">
      <w:pPr>
        <w:ind w:firstLine="360"/>
        <w:jc w:val="both"/>
        <w:rPr>
          <w:rFonts w:asciiTheme="minorHAnsi" w:hAnsiTheme="minorHAnsi"/>
          <w:sz w:val="24"/>
          <w:szCs w:val="24"/>
          <w:lang w:val="en-US" w:eastAsia="en-US"/>
        </w:rPr>
      </w:pPr>
      <w:r>
        <w:rPr>
          <w:rFonts w:asciiTheme="minorHAnsi" w:hAnsiTheme="minorHAnsi"/>
          <w:sz w:val="24"/>
          <w:szCs w:val="24"/>
          <w:lang w:val="en-US" w:eastAsia="en-US"/>
        </w:rPr>
        <w:t xml:space="preserve">       </w:t>
      </w:r>
      <w:r w:rsidR="00B51DD8" w:rsidRPr="00FF7B55">
        <w:rPr>
          <w:rFonts w:asciiTheme="minorHAnsi" w:hAnsiTheme="minorHAnsi"/>
          <w:sz w:val="24"/>
          <w:szCs w:val="24"/>
          <w:lang w:val="en-US" w:eastAsia="en-US"/>
        </w:rPr>
        <w:t>For the first two months of this year, revenues from sales increased by 8% compared to the same period of 2016, including 5% decrease of domestic sales and 16% increase of export sales.</w:t>
      </w:r>
    </w:p>
    <w:p w:rsidR="00B51DD8" w:rsidRPr="00FF7B55" w:rsidRDefault="00B51DD8" w:rsidP="00B51DD8">
      <w:pPr>
        <w:ind w:firstLine="709"/>
        <w:jc w:val="both"/>
        <w:rPr>
          <w:rFonts w:asciiTheme="minorHAnsi" w:hAnsiTheme="minorHAnsi"/>
          <w:sz w:val="24"/>
          <w:szCs w:val="24"/>
          <w:lang w:val="en-US"/>
        </w:rPr>
      </w:pPr>
      <w:r w:rsidRPr="00FF7B55">
        <w:rPr>
          <w:rFonts w:asciiTheme="minorHAnsi" w:hAnsiTheme="minorHAnsi"/>
          <w:sz w:val="24"/>
          <w:szCs w:val="24"/>
          <w:lang w:val="en-US"/>
        </w:rPr>
        <w:t xml:space="preserve">“We are very pleased with the results on the Russian market from the </w:t>
      </w:r>
      <w:proofErr w:type="spellStart"/>
      <w:r w:rsidRPr="00FF7B55">
        <w:rPr>
          <w:rFonts w:asciiTheme="minorHAnsi" w:hAnsiTheme="minorHAnsi"/>
          <w:sz w:val="24"/>
          <w:szCs w:val="24"/>
          <w:lang w:val="en-US"/>
        </w:rPr>
        <w:t>begining</w:t>
      </w:r>
      <w:proofErr w:type="spellEnd"/>
      <w:r w:rsidRPr="00FF7B55">
        <w:rPr>
          <w:rFonts w:asciiTheme="minorHAnsi" w:hAnsiTheme="minorHAnsi"/>
          <w:sz w:val="24"/>
          <w:szCs w:val="24"/>
          <w:lang w:val="en-US"/>
        </w:rPr>
        <w:t xml:space="preserve"> of this year and the trend is </w:t>
      </w:r>
      <w:proofErr w:type="spellStart"/>
      <w:r w:rsidRPr="00FF7B55">
        <w:rPr>
          <w:rFonts w:asciiTheme="minorHAnsi" w:hAnsiTheme="minorHAnsi"/>
          <w:sz w:val="24"/>
          <w:szCs w:val="24"/>
          <w:lang w:val="en-US"/>
        </w:rPr>
        <w:t>strenghteining</w:t>
      </w:r>
      <w:proofErr w:type="spellEnd"/>
      <w:r w:rsidRPr="00FF7B55">
        <w:rPr>
          <w:rFonts w:asciiTheme="minorHAnsi" w:hAnsiTheme="minorHAnsi"/>
          <w:sz w:val="24"/>
          <w:szCs w:val="24"/>
          <w:lang w:val="en-US"/>
        </w:rPr>
        <w:t xml:space="preserve"> in February reaching 40% increase in export sales. </w:t>
      </w:r>
    </w:p>
    <w:p w:rsidR="00B51DD8" w:rsidRPr="00FF7B55" w:rsidRDefault="000C6D09" w:rsidP="00B51DD8">
      <w:pPr>
        <w:ind w:firstLine="709"/>
        <w:jc w:val="both"/>
        <w:rPr>
          <w:rFonts w:asciiTheme="minorHAnsi" w:hAnsiTheme="minorHAnsi"/>
          <w:sz w:val="24"/>
          <w:szCs w:val="24"/>
          <w:lang w:val="en-US"/>
        </w:rPr>
      </w:pPr>
      <w:r>
        <w:rPr>
          <w:rFonts w:asciiTheme="minorHAnsi" w:hAnsiTheme="minorHAnsi"/>
          <w:sz w:val="24"/>
          <w:szCs w:val="24"/>
        </w:rPr>
        <w:t xml:space="preserve"> </w:t>
      </w:r>
      <w:bookmarkStart w:id="0" w:name="_GoBack"/>
      <w:bookmarkEnd w:id="0"/>
      <w:r w:rsidR="00B51DD8" w:rsidRPr="00FF7B55">
        <w:rPr>
          <w:rFonts w:asciiTheme="minorHAnsi" w:hAnsiTheme="minorHAnsi"/>
          <w:sz w:val="24"/>
          <w:szCs w:val="24"/>
          <w:lang w:val="en-US"/>
        </w:rPr>
        <w:t xml:space="preserve">We are hopeful also with regards to the registration of our product </w:t>
      </w:r>
      <w:proofErr w:type="spellStart"/>
      <w:r w:rsidR="00B51DD8" w:rsidRPr="00FF7B55">
        <w:rPr>
          <w:rFonts w:asciiTheme="minorHAnsi" w:hAnsiTheme="minorHAnsi"/>
          <w:sz w:val="24"/>
          <w:szCs w:val="24"/>
          <w:lang w:val="en-US"/>
        </w:rPr>
        <w:t>Tabex</w:t>
      </w:r>
      <w:proofErr w:type="spellEnd"/>
      <w:r w:rsidR="00B51DD8" w:rsidRPr="00FF7B55">
        <w:rPr>
          <w:rFonts w:asciiTheme="minorHAnsi" w:hAnsiTheme="minorHAnsi"/>
          <w:sz w:val="24"/>
          <w:szCs w:val="24"/>
          <w:lang w:val="en-US"/>
        </w:rPr>
        <w:t xml:space="preserve"> in the USA. After the news about the merger of Achieve and </w:t>
      </w:r>
      <w:proofErr w:type="spellStart"/>
      <w:r w:rsidR="00B51DD8" w:rsidRPr="00FF7B55">
        <w:rPr>
          <w:rFonts w:asciiTheme="minorHAnsi" w:hAnsiTheme="minorHAnsi"/>
          <w:sz w:val="24"/>
          <w:szCs w:val="24"/>
          <w:lang w:val="en-US"/>
        </w:rPr>
        <w:t>OncoGenex</w:t>
      </w:r>
      <w:proofErr w:type="spellEnd"/>
      <w:r w:rsidR="00B51DD8" w:rsidRPr="00FF7B55">
        <w:rPr>
          <w:rFonts w:asciiTheme="minorHAnsi" w:hAnsiTheme="minorHAnsi"/>
          <w:sz w:val="24"/>
          <w:szCs w:val="24"/>
          <w:lang w:val="en-US"/>
        </w:rPr>
        <w:t xml:space="preserve"> the good news </w:t>
      </w:r>
      <w:proofErr w:type="gramStart"/>
      <w:r w:rsidR="00B51DD8" w:rsidRPr="00FF7B55">
        <w:rPr>
          <w:rFonts w:asciiTheme="minorHAnsi" w:hAnsiTheme="minorHAnsi"/>
          <w:sz w:val="24"/>
          <w:szCs w:val="24"/>
          <w:lang w:val="en-US"/>
        </w:rPr>
        <w:t>continue</w:t>
      </w:r>
      <w:proofErr w:type="gramEnd"/>
      <w:r w:rsidR="00B51DD8" w:rsidRPr="00FF7B55">
        <w:rPr>
          <w:rFonts w:asciiTheme="minorHAnsi" w:hAnsiTheme="minorHAnsi"/>
          <w:sz w:val="24"/>
          <w:szCs w:val="24"/>
          <w:lang w:val="en-US"/>
        </w:rPr>
        <w:t xml:space="preserve">. You can read more </w:t>
      </w:r>
      <w:proofErr w:type="spellStart"/>
      <w:r w:rsidR="00B51DD8" w:rsidRPr="00FF7B55">
        <w:rPr>
          <w:rFonts w:asciiTheme="minorHAnsi" w:hAnsiTheme="minorHAnsi"/>
          <w:sz w:val="24"/>
          <w:szCs w:val="24"/>
          <w:lang w:val="en-US"/>
        </w:rPr>
        <w:t>abou</w:t>
      </w:r>
      <w:proofErr w:type="spellEnd"/>
      <w:r w:rsidR="00B51DD8" w:rsidRPr="00FF7B55">
        <w:rPr>
          <w:rFonts w:asciiTheme="minorHAnsi" w:hAnsiTheme="minorHAnsi"/>
          <w:sz w:val="24"/>
          <w:szCs w:val="24"/>
          <w:lang w:val="en-US"/>
        </w:rPr>
        <w:t xml:space="preserve"> the cooperation of Achieve with NIH here: </w:t>
      </w:r>
      <w:hyperlink r:id="rId8" w:history="1">
        <w:r w:rsidR="00B51DD8" w:rsidRPr="00FF7B55">
          <w:rPr>
            <w:rStyle w:val="a5"/>
            <w:rFonts w:asciiTheme="minorHAnsi" w:hAnsiTheme="minorHAnsi"/>
            <w:sz w:val="24"/>
            <w:szCs w:val="24"/>
            <w:lang w:val="en-US"/>
          </w:rPr>
          <w:t>www.oncogenex.com</w:t>
        </w:r>
      </w:hyperlink>
      <w:r w:rsidR="00B51DD8" w:rsidRPr="00FF7B55">
        <w:rPr>
          <w:rFonts w:asciiTheme="minorHAnsi" w:hAnsiTheme="minorHAnsi"/>
          <w:sz w:val="24"/>
          <w:szCs w:val="24"/>
          <w:lang w:val="en-US"/>
        </w:rPr>
        <w:t xml:space="preserve">. </w:t>
      </w:r>
    </w:p>
    <w:p w:rsidR="00B51DD8" w:rsidRPr="00FF7B55" w:rsidRDefault="00B51DD8" w:rsidP="00B51DD8">
      <w:pPr>
        <w:ind w:firstLine="709"/>
        <w:jc w:val="both"/>
        <w:rPr>
          <w:rFonts w:asciiTheme="minorHAnsi" w:hAnsiTheme="minorHAnsi"/>
          <w:sz w:val="24"/>
          <w:szCs w:val="24"/>
          <w:lang w:val="en-US"/>
        </w:rPr>
      </w:pPr>
      <w:r w:rsidRPr="00FF7B55">
        <w:rPr>
          <w:rFonts w:asciiTheme="minorHAnsi" w:hAnsiTheme="minorHAnsi"/>
          <w:sz w:val="24"/>
          <w:szCs w:val="24"/>
          <w:lang w:val="en-US"/>
        </w:rPr>
        <w:t xml:space="preserve">The preliminary consolidated report of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Group for 2016 shows that even though the period was relatively difficult on our foreign </w:t>
      </w:r>
      <w:proofErr w:type="gramStart"/>
      <w:r w:rsidRPr="00FF7B55">
        <w:rPr>
          <w:rFonts w:asciiTheme="minorHAnsi" w:hAnsiTheme="minorHAnsi"/>
          <w:sz w:val="24"/>
          <w:szCs w:val="24"/>
          <w:lang w:val="en-US"/>
        </w:rPr>
        <w:t>markets,</w:t>
      </w:r>
      <w:proofErr w:type="gramEnd"/>
      <w:r w:rsidRPr="00FF7B55">
        <w:rPr>
          <w:rFonts w:asciiTheme="minorHAnsi" w:hAnsiTheme="minorHAnsi"/>
          <w:sz w:val="24"/>
          <w:szCs w:val="24"/>
          <w:lang w:val="en-US"/>
        </w:rPr>
        <w:t xml:space="preserve"> we still managed to reach a satisfactory EBITDA of 70 million BGN and a net profit of a little bit more than 50 million BGN. Analysis of the main indicators shows improved profitability due to optimization of main expenses and in the light of a maximum market price of a bit over 3 BGN for the year P/E is 8.31 and ROE is 10.9% compared to 5.3% for 2015.”, says Mr. </w:t>
      </w:r>
      <w:proofErr w:type="spellStart"/>
      <w:r w:rsidRPr="00FF7B55">
        <w:rPr>
          <w:rFonts w:asciiTheme="minorHAnsi" w:hAnsiTheme="minorHAnsi"/>
          <w:sz w:val="24"/>
          <w:szCs w:val="24"/>
          <w:lang w:val="en-US"/>
        </w:rPr>
        <w:t>Ognian</w:t>
      </w:r>
      <w:proofErr w:type="spellEnd"/>
      <w:r w:rsidRPr="00FF7B55">
        <w:rPr>
          <w:rFonts w:asciiTheme="minorHAnsi" w:hAnsiTheme="minorHAnsi"/>
          <w:sz w:val="24"/>
          <w:szCs w:val="24"/>
          <w:lang w:val="en-US"/>
        </w:rPr>
        <w:t xml:space="preserve"> </w:t>
      </w:r>
      <w:proofErr w:type="spellStart"/>
      <w:r w:rsidRPr="00FF7B55">
        <w:rPr>
          <w:rFonts w:asciiTheme="minorHAnsi" w:hAnsiTheme="minorHAnsi"/>
          <w:sz w:val="24"/>
          <w:szCs w:val="24"/>
          <w:lang w:val="en-US"/>
        </w:rPr>
        <w:t>Donev</w:t>
      </w:r>
      <w:proofErr w:type="spellEnd"/>
      <w:r w:rsidRPr="00FF7B55">
        <w:rPr>
          <w:rFonts w:asciiTheme="minorHAnsi" w:hAnsiTheme="minorHAnsi"/>
          <w:sz w:val="24"/>
          <w:szCs w:val="24"/>
          <w:lang w:val="en-US"/>
        </w:rPr>
        <w:t xml:space="preserve">, PhD, CEO and Chairman of the Board of directors of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w:t>
      </w:r>
    </w:p>
    <w:p w:rsidR="00B51DD8" w:rsidRPr="00FF7B55" w:rsidRDefault="00B51DD8" w:rsidP="00B51DD8">
      <w:pPr>
        <w:ind w:firstLine="709"/>
        <w:jc w:val="both"/>
        <w:rPr>
          <w:rFonts w:asciiTheme="minorHAnsi" w:hAnsiTheme="minorHAnsi"/>
          <w:sz w:val="24"/>
          <w:szCs w:val="24"/>
          <w:lang w:val="en-US"/>
        </w:rPr>
      </w:pPr>
    </w:p>
    <w:p w:rsidR="00B51DD8" w:rsidRPr="00FF7B55" w:rsidRDefault="00B51DD8" w:rsidP="00B51DD8">
      <w:pPr>
        <w:autoSpaceDE w:val="0"/>
        <w:rPr>
          <w:rFonts w:asciiTheme="minorHAnsi" w:hAnsiTheme="minorHAnsi"/>
          <w:b/>
          <w:sz w:val="24"/>
          <w:szCs w:val="24"/>
          <w:lang w:val="en-US"/>
        </w:rPr>
      </w:pPr>
      <w:r w:rsidRPr="00FF7B55">
        <w:rPr>
          <w:rFonts w:asciiTheme="minorHAnsi" w:hAnsiTheme="minorHAnsi"/>
          <w:b/>
          <w:sz w:val="24"/>
          <w:szCs w:val="24"/>
          <w:lang w:val="en-US"/>
        </w:rPr>
        <w:t>Dated 9 March 2017</w:t>
      </w:r>
    </w:p>
    <w:p w:rsidR="00B51DD8" w:rsidRPr="00FF7B55" w:rsidRDefault="00B51DD8" w:rsidP="00B51DD8">
      <w:pPr>
        <w:autoSpaceDE w:val="0"/>
        <w:rPr>
          <w:rFonts w:asciiTheme="minorHAnsi" w:hAnsiTheme="minorHAnsi"/>
          <w:sz w:val="24"/>
          <w:szCs w:val="24"/>
          <w:lang w:val="en-US"/>
        </w:rPr>
      </w:pP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p>
    <w:p w:rsidR="00B51DD8" w:rsidRPr="00FF7B55" w:rsidRDefault="00B51DD8" w:rsidP="00B51DD8">
      <w:pPr>
        <w:autoSpaceDE w:val="0"/>
        <w:autoSpaceDN w:val="0"/>
        <w:adjustRightInd w:val="0"/>
        <w:ind w:firstLine="720"/>
        <w:jc w:val="both"/>
        <w:rPr>
          <w:rFonts w:asciiTheme="minorHAnsi" w:hAnsiTheme="minorHAnsi"/>
          <w:sz w:val="24"/>
          <w:szCs w:val="24"/>
          <w:lang w:val="en-US"/>
        </w:rPr>
      </w:pP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announces that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received a final prohibition from the Bulgarian Financial Supervision Commission (FSC) to extend a tender offering to the shareholders of Unipharm AD. </w:t>
      </w:r>
      <w:proofErr w:type="spellStart"/>
      <w:r w:rsidRPr="00FF7B55">
        <w:rPr>
          <w:rFonts w:asciiTheme="minorHAnsi" w:hAnsiTheme="minorHAnsi"/>
          <w:sz w:val="24"/>
          <w:szCs w:val="24"/>
          <w:lang w:val="en-US"/>
        </w:rPr>
        <w:t>Sopharma</w:t>
      </w:r>
      <w:proofErr w:type="spellEnd"/>
      <w:r w:rsidRPr="00FF7B55">
        <w:rPr>
          <w:rFonts w:asciiTheme="minorHAnsi" w:hAnsiTheme="minorHAnsi"/>
          <w:sz w:val="24"/>
          <w:szCs w:val="24"/>
          <w:lang w:val="en-US"/>
        </w:rPr>
        <w:t xml:space="preserve"> AD is preparing a new tender offering which reflects the comments of the FSC.</w:t>
      </w:r>
    </w:p>
    <w:p w:rsidR="004F386B" w:rsidRPr="00FF7B55" w:rsidRDefault="004F386B" w:rsidP="00B51DD8">
      <w:pPr>
        <w:autoSpaceDE w:val="0"/>
        <w:rPr>
          <w:rFonts w:asciiTheme="minorHAnsi" w:hAnsiTheme="minorHAnsi"/>
          <w:b/>
          <w:sz w:val="24"/>
          <w:szCs w:val="24"/>
          <w:lang w:val="en-US"/>
        </w:rPr>
      </w:pPr>
    </w:p>
    <w:p w:rsidR="00B51DD8" w:rsidRPr="00FF7B55" w:rsidRDefault="00B51DD8" w:rsidP="00B51DD8">
      <w:pPr>
        <w:autoSpaceDE w:val="0"/>
        <w:rPr>
          <w:rFonts w:asciiTheme="minorHAnsi" w:hAnsiTheme="minorHAnsi"/>
          <w:b/>
          <w:sz w:val="24"/>
          <w:szCs w:val="24"/>
          <w:lang w:val="en-US"/>
        </w:rPr>
      </w:pPr>
      <w:r w:rsidRPr="00FF7B55">
        <w:rPr>
          <w:rFonts w:asciiTheme="minorHAnsi" w:hAnsiTheme="minorHAnsi"/>
          <w:b/>
          <w:sz w:val="24"/>
          <w:szCs w:val="24"/>
          <w:lang w:val="en-US"/>
        </w:rPr>
        <w:t xml:space="preserve">Dated </w:t>
      </w:r>
      <w:r w:rsidR="004F386B" w:rsidRPr="00FF7B55">
        <w:rPr>
          <w:rFonts w:asciiTheme="minorHAnsi" w:hAnsiTheme="minorHAnsi"/>
          <w:b/>
          <w:sz w:val="24"/>
          <w:szCs w:val="24"/>
          <w:lang w:val="en-US"/>
        </w:rPr>
        <w:t>21</w:t>
      </w:r>
      <w:r w:rsidRPr="00FF7B55">
        <w:rPr>
          <w:rFonts w:asciiTheme="minorHAnsi" w:hAnsiTheme="minorHAnsi"/>
          <w:b/>
          <w:sz w:val="24"/>
          <w:szCs w:val="24"/>
          <w:lang w:val="en-US"/>
        </w:rPr>
        <w:t xml:space="preserve"> March 2017</w:t>
      </w:r>
    </w:p>
    <w:p w:rsidR="00B51DD8" w:rsidRPr="00FF7B55" w:rsidRDefault="00B51DD8" w:rsidP="00B51DD8">
      <w:pPr>
        <w:autoSpaceDE w:val="0"/>
        <w:rPr>
          <w:rFonts w:asciiTheme="minorHAnsi" w:hAnsiTheme="minorHAnsi"/>
          <w:sz w:val="24"/>
          <w:szCs w:val="24"/>
          <w:lang w:val="en-US"/>
        </w:rPr>
      </w:pPr>
    </w:p>
    <w:p w:rsidR="00B51DD8" w:rsidRPr="00FF7B55" w:rsidRDefault="00B51DD8" w:rsidP="004F386B">
      <w:pPr>
        <w:autoSpaceDE w:val="0"/>
        <w:autoSpaceDN w:val="0"/>
        <w:adjustRightInd w:val="0"/>
        <w:jc w:val="center"/>
        <w:outlineLvl w:val="0"/>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B51DD8" w:rsidRPr="00FF7B55" w:rsidRDefault="00B51DD8" w:rsidP="00B51DD8">
      <w:pPr>
        <w:pStyle w:val="a9"/>
        <w:ind w:firstLine="720"/>
        <w:jc w:val="both"/>
        <w:rPr>
          <w:rFonts w:asciiTheme="minorHAnsi" w:hAnsiTheme="minorHAnsi"/>
        </w:rPr>
      </w:pPr>
      <w:proofErr w:type="spellStart"/>
      <w:r w:rsidRPr="00FF7B55">
        <w:rPr>
          <w:rFonts w:asciiTheme="minorHAnsi" w:hAnsiTheme="minorHAnsi"/>
        </w:rPr>
        <w:t>Sopharma</w:t>
      </w:r>
      <w:proofErr w:type="spellEnd"/>
      <w:r w:rsidRPr="00FF7B55">
        <w:rPr>
          <w:rFonts w:asciiTheme="minorHAnsi" w:hAnsiTheme="minorHAnsi"/>
        </w:rPr>
        <w:t xml:space="preserve"> AD (the “Company”) notifies that on 20 March 2017 </w:t>
      </w:r>
      <w:proofErr w:type="spellStart"/>
      <w:r w:rsidRPr="00FF7B55">
        <w:rPr>
          <w:rFonts w:asciiTheme="minorHAnsi" w:hAnsiTheme="minorHAnsi"/>
        </w:rPr>
        <w:t>Sopharma</w:t>
      </w:r>
      <w:proofErr w:type="spellEnd"/>
      <w:r w:rsidRPr="00FF7B55">
        <w:rPr>
          <w:rFonts w:asciiTheme="minorHAnsi" w:hAnsiTheme="minorHAnsi"/>
        </w:rPr>
        <w:t xml:space="preserve"> AD, Sofia, UIC 831902088 and </w:t>
      </w:r>
      <w:proofErr w:type="spellStart"/>
      <w:r w:rsidRPr="00FF7B55">
        <w:rPr>
          <w:rFonts w:asciiTheme="minorHAnsi" w:hAnsiTheme="minorHAnsi"/>
        </w:rPr>
        <w:t>Medica</w:t>
      </w:r>
      <w:proofErr w:type="spellEnd"/>
      <w:r w:rsidRPr="00FF7B55">
        <w:rPr>
          <w:rFonts w:asciiTheme="minorHAnsi" w:hAnsiTheme="minorHAnsi"/>
        </w:rPr>
        <w:t xml:space="preserve"> AD, Sofia, UIC 000000993 signed an annex to the Contract for transformation through merger reflecting the comments by the FSC. All documents will be filed with the FSC for approval pursuant to art. </w:t>
      </w:r>
      <w:proofErr w:type="gramStart"/>
      <w:r w:rsidRPr="00FF7B55">
        <w:rPr>
          <w:rFonts w:asciiTheme="minorHAnsi" w:hAnsiTheme="minorHAnsi"/>
        </w:rPr>
        <w:t>124, par. 1 of the Public Offering of Securities Act (POSA) after an independent certified evaluator prepares a report.</w:t>
      </w:r>
      <w:proofErr w:type="gramEnd"/>
      <w:r w:rsidRPr="00FF7B55">
        <w:rPr>
          <w:rFonts w:asciiTheme="minorHAnsi" w:hAnsiTheme="minorHAnsi"/>
        </w:rPr>
        <w:t> </w:t>
      </w:r>
    </w:p>
    <w:p w:rsidR="00B51DD8" w:rsidRPr="00FF7B55" w:rsidRDefault="00B51DD8" w:rsidP="00B51DD8">
      <w:pPr>
        <w:pStyle w:val="a9"/>
        <w:ind w:firstLine="720"/>
        <w:jc w:val="both"/>
        <w:rPr>
          <w:rFonts w:asciiTheme="minorHAnsi" w:hAnsiTheme="minorHAnsi"/>
        </w:rPr>
      </w:pPr>
      <w:r w:rsidRPr="00FF7B55">
        <w:rPr>
          <w:rFonts w:asciiTheme="minorHAnsi" w:hAnsiTheme="minorHAnsi"/>
        </w:rPr>
        <w:lastRenderedPageBreak/>
        <w:t xml:space="preserve">As a result of the merger, all shareholders of the transferring company </w:t>
      </w:r>
      <w:proofErr w:type="spellStart"/>
      <w:r w:rsidRPr="00FF7B55">
        <w:rPr>
          <w:rFonts w:asciiTheme="minorHAnsi" w:hAnsiTheme="minorHAnsi"/>
        </w:rPr>
        <w:t>Medica</w:t>
      </w:r>
      <w:proofErr w:type="spellEnd"/>
      <w:r w:rsidRPr="00FF7B55">
        <w:rPr>
          <w:rFonts w:asciiTheme="minorHAnsi" w:hAnsiTheme="minorHAnsi"/>
        </w:rPr>
        <w:t xml:space="preserve"> AD, with the exception of the receiving company </w:t>
      </w:r>
      <w:proofErr w:type="spellStart"/>
      <w:r w:rsidRPr="00FF7B55">
        <w:rPr>
          <w:rFonts w:asciiTheme="minorHAnsi" w:hAnsiTheme="minorHAnsi"/>
        </w:rPr>
        <w:t>Sopharma</w:t>
      </w:r>
      <w:proofErr w:type="spellEnd"/>
      <w:r w:rsidRPr="00FF7B55">
        <w:rPr>
          <w:rFonts w:asciiTheme="minorHAnsi" w:hAnsiTheme="minorHAnsi"/>
        </w:rPr>
        <w:t xml:space="preserve"> AD, which is also a shareholder of the transferring company, will receive shares of </w:t>
      </w:r>
      <w:proofErr w:type="spellStart"/>
      <w:r w:rsidRPr="00FF7B55">
        <w:rPr>
          <w:rFonts w:asciiTheme="minorHAnsi" w:hAnsiTheme="minorHAnsi"/>
        </w:rPr>
        <w:t>Sopharma</w:t>
      </w:r>
      <w:proofErr w:type="spellEnd"/>
      <w:r w:rsidRPr="00FF7B55">
        <w:rPr>
          <w:rFonts w:asciiTheme="minorHAnsi" w:hAnsiTheme="minorHAnsi"/>
        </w:rPr>
        <w:t xml:space="preserve"> AD and become shareholders of it. Against one share of </w:t>
      </w:r>
      <w:proofErr w:type="spellStart"/>
      <w:r w:rsidRPr="00FF7B55">
        <w:rPr>
          <w:rFonts w:asciiTheme="minorHAnsi" w:hAnsiTheme="minorHAnsi"/>
        </w:rPr>
        <w:t>Medica</w:t>
      </w:r>
      <w:proofErr w:type="spellEnd"/>
      <w:r w:rsidRPr="00FF7B55">
        <w:rPr>
          <w:rFonts w:asciiTheme="minorHAnsi" w:hAnsiTheme="minorHAnsi"/>
        </w:rPr>
        <w:t xml:space="preserve"> AD each shareholder pursuant to art. 261b, app. 1 of the CA shall receive 0.8831 treasury shares of the capital of </w:t>
      </w:r>
      <w:proofErr w:type="spellStart"/>
      <w:r w:rsidRPr="00FF7B55">
        <w:rPr>
          <w:rFonts w:asciiTheme="minorHAnsi" w:hAnsiTheme="minorHAnsi"/>
        </w:rPr>
        <w:t>Sopharma</w:t>
      </w:r>
      <w:proofErr w:type="spellEnd"/>
      <w:r w:rsidRPr="00FF7B55">
        <w:rPr>
          <w:rFonts w:asciiTheme="minorHAnsi" w:hAnsiTheme="minorHAnsi"/>
        </w:rPr>
        <w:t xml:space="preserve"> AD. All other conditions concerning the merger procedure are included in the Contract.</w:t>
      </w:r>
    </w:p>
    <w:p w:rsidR="00B51DD8" w:rsidRPr="00FF7B55" w:rsidRDefault="00B51DD8" w:rsidP="007F29CE">
      <w:pPr>
        <w:autoSpaceDE w:val="0"/>
        <w:jc w:val="center"/>
        <w:rPr>
          <w:rFonts w:asciiTheme="minorHAnsi" w:hAnsiTheme="minorHAnsi"/>
          <w:sz w:val="24"/>
          <w:szCs w:val="24"/>
          <w:lang w:val="en-US"/>
        </w:rPr>
      </w:pPr>
    </w:p>
    <w:sectPr w:rsidR="00B51DD8" w:rsidRPr="00FF7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822B6"/>
    <w:multiLevelType w:val="hybridMultilevel"/>
    <w:tmpl w:val="103E907E"/>
    <w:lvl w:ilvl="0" w:tplc="267A8FD2">
      <w:start w:val="1"/>
      <w:numFmt w:val="decimal"/>
      <w:lvlText w:val="%1."/>
      <w:lvlJc w:val="left"/>
      <w:pPr>
        <w:tabs>
          <w:tab w:val="num" w:pos="1110"/>
        </w:tabs>
        <w:ind w:left="1110" w:hanging="75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AE"/>
    <w:rsid w:val="00054DEC"/>
    <w:rsid w:val="0006450C"/>
    <w:rsid w:val="000836C7"/>
    <w:rsid w:val="000C6D09"/>
    <w:rsid w:val="000F1AB5"/>
    <w:rsid w:val="00125349"/>
    <w:rsid w:val="00185EBB"/>
    <w:rsid w:val="00193621"/>
    <w:rsid w:val="001D2C8F"/>
    <w:rsid w:val="001F6F9C"/>
    <w:rsid w:val="002226B0"/>
    <w:rsid w:val="002E0268"/>
    <w:rsid w:val="003F517F"/>
    <w:rsid w:val="00436302"/>
    <w:rsid w:val="004E1DAD"/>
    <w:rsid w:val="004F386B"/>
    <w:rsid w:val="00501DF5"/>
    <w:rsid w:val="00531CAE"/>
    <w:rsid w:val="005562D3"/>
    <w:rsid w:val="00575CC3"/>
    <w:rsid w:val="005B716B"/>
    <w:rsid w:val="007F29CE"/>
    <w:rsid w:val="008715DA"/>
    <w:rsid w:val="008972E5"/>
    <w:rsid w:val="008A53AF"/>
    <w:rsid w:val="00942BC4"/>
    <w:rsid w:val="00957B88"/>
    <w:rsid w:val="00976E64"/>
    <w:rsid w:val="00A05D66"/>
    <w:rsid w:val="00A1124B"/>
    <w:rsid w:val="00AA1873"/>
    <w:rsid w:val="00B51DD8"/>
    <w:rsid w:val="00BA76BC"/>
    <w:rsid w:val="00C2371F"/>
    <w:rsid w:val="00C77BB3"/>
    <w:rsid w:val="00C819D3"/>
    <w:rsid w:val="00C86852"/>
    <w:rsid w:val="00CB1772"/>
    <w:rsid w:val="00CD2F5F"/>
    <w:rsid w:val="00E54891"/>
    <w:rsid w:val="00ED524A"/>
    <w:rsid w:val="00F00624"/>
    <w:rsid w:val="00FE5D74"/>
    <w:rsid w:val="00FF0157"/>
    <w:rsid w:val="00FF7B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1F"/>
    <w:rPr>
      <w:rFonts w:ascii="Calibri" w:eastAsiaTheme="minorHAnsi" w:hAnsi="Calibri"/>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1873"/>
    <w:pPr>
      <w:spacing w:line="420" w:lineRule="atLeast"/>
      <w:jc w:val="center"/>
    </w:pPr>
    <w:rPr>
      <w:rFonts w:ascii="Times New Roman" w:eastAsia="Times New Roman" w:hAnsi="Times New Roman"/>
      <w:b/>
      <w:sz w:val="24"/>
      <w:szCs w:val="20"/>
      <w:lang w:val="ru-RU" w:eastAsia="en-US"/>
    </w:rPr>
  </w:style>
  <w:style w:type="character" w:customStyle="1" w:styleId="a4">
    <w:name w:val="Заглавие Знак"/>
    <w:basedOn w:val="a0"/>
    <w:link w:val="a3"/>
    <w:rsid w:val="00AA1873"/>
    <w:rPr>
      <w:b/>
      <w:sz w:val="24"/>
    </w:rPr>
  </w:style>
  <w:style w:type="character" w:styleId="a5">
    <w:name w:val="Hyperlink"/>
    <w:basedOn w:val="a0"/>
    <w:uiPriority w:val="99"/>
    <w:unhideWhenUsed/>
    <w:rsid w:val="00C2371F"/>
    <w:rPr>
      <w:color w:val="0000FF" w:themeColor="hyperlink"/>
      <w:u w:val="single"/>
    </w:rPr>
  </w:style>
  <w:style w:type="paragraph" w:customStyle="1" w:styleId="Char">
    <w:name w:val="Char"/>
    <w:basedOn w:val="a"/>
    <w:rsid w:val="00A1124B"/>
    <w:pPr>
      <w:spacing w:before="120" w:after="160" w:line="240" w:lineRule="exact"/>
    </w:pPr>
    <w:rPr>
      <w:rFonts w:ascii="Tahoma" w:eastAsia="Times New Roman" w:hAnsi="Tahoma"/>
      <w:sz w:val="20"/>
      <w:szCs w:val="20"/>
      <w:lang w:val="en-US"/>
    </w:rPr>
  </w:style>
  <w:style w:type="paragraph" w:styleId="a6">
    <w:name w:val="Plain Text"/>
    <w:basedOn w:val="a"/>
    <w:link w:val="a7"/>
    <w:uiPriority w:val="99"/>
    <w:unhideWhenUsed/>
    <w:rsid w:val="00A1124B"/>
    <w:rPr>
      <w:rFonts w:eastAsia="Calibri"/>
      <w:szCs w:val="21"/>
      <w:lang w:eastAsia="en-US"/>
    </w:rPr>
  </w:style>
  <w:style w:type="character" w:customStyle="1" w:styleId="a7">
    <w:name w:val="Обикновен текст Знак"/>
    <w:basedOn w:val="a0"/>
    <w:link w:val="a6"/>
    <w:uiPriority w:val="99"/>
    <w:rsid w:val="00A1124B"/>
    <w:rPr>
      <w:rFonts w:ascii="Calibri" w:eastAsia="Calibri" w:hAnsi="Calibri"/>
      <w:sz w:val="22"/>
      <w:szCs w:val="21"/>
    </w:rPr>
  </w:style>
  <w:style w:type="paragraph" w:styleId="a8">
    <w:name w:val="List Paragraph"/>
    <w:basedOn w:val="a"/>
    <w:uiPriority w:val="34"/>
    <w:qFormat/>
    <w:rsid w:val="00C77BB3"/>
    <w:pPr>
      <w:ind w:left="708"/>
    </w:pPr>
    <w:rPr>
      <w:rFonts w:ascii="Times New Roman" w:eastAsia="Times New Roman" w:hAnsi="Times New Roman"/>
      <w:sz w:val="28"/>
      <w:szCs w:val="20"/>
      <w:lang w:val="en-GB" w:eastAsia="en-US"/>
    </w:rPr>
  </w:style>
  <w:style w:type="paragraph" w:customStyle="1" w:styleId="Char0">
    <w:name w:val="Char"/>
    <w:basedOn w:val="a"/>
    <w:rsid w:val="003F517F"/>
    <w:pPr>
      <w:spacing w:before="120" w:after="160" w:line="240" w:lineRule="exact"/>
    </w:pPr>
    <w:rPr>
      <w:rFonts w:ascii="Tahoma" w:eastAsia="Times New Roman" w:hAnsi="Tahoma"/>
      <w:sz w:val="20"/>
      <w:szCs w:val="20"/>
      <w:lang w:val="en-US"/>
    </w:rPr>
  </w:style>
  <w:style w:type="paragraph" w:styleId="a9">
    <w:name w:val="Normal (Web)"/>
    <w:basedOn w:val="a"/>
    <w:uiPriority w:val="99"/>
    <w:unhideWhenUsed/>
    <w:rsid w:val="00B51DD8"/>
    <w:pPr>
      <w:spacing w:before="100" w:beforeAutospacing="1" w:after="100" w:afterAutospacing="1"/>
    </w:pPr>
    <w:rPr>
      <w:rFonts w:ascii="Times New Roman" w:eastAsia="Calibri"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1F"/>
    <w:rPr>
      <w:rFonts w:ascii="Calibri" w:eastAsiaTheme="minorHAnsi" w:hAnsi="Calibri"/>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1873"/>
    <w:pPr>
      <w:spacing w:line="420" w:lineRule="atLeast"/>
      <w:jc w:val="center"/>
    </w:pPr>
    <w:rPr>
      <w:rFonts w:ascii="Times New Roman" w:eastAsia="Times New Roman" w:hAnsi="Times New Roman"/>
      <w:b/>
      <w:sz w:val="24"/>
      <w:szCs w:val="20"/>
      <w:lang w:val="ru-RU" w:eastAsia="en-US"/>
    </w:rPr>
  </w:style>
  <w:style w:type="character" w:customStyle="1" w:styleId="a4">
    <w:name w:val="Заглавие Знак"/>
    <w:basedOn w:val="a0"/>
    <w:link w:val="a3"/>
    <w:rsid w:val="00AA1873"/>
    <w:rPr>
      <w:b/>
      <w:sz w:val="24"/>
    </w:rPr>
  </w:style>
  <w:style w:type="character" w:styleId="a5">
    <w:name w:val="Hyperlink"/>
    <w:basedOn w:val="a0"/>
    <w:uiPriority w:val="99"/>
    <w:unhideWhenUsed/>
    <w:rsid w:val="00C2371F"/>
    <w:rPr>
      <w:color w:val="0000FF" w:themeColor="hyperlink"/>
      <w:u w:val="single"/>
    </w:rPr>
  </w:style>
  <w:style w:type="paragraph" w:customStyle="1" w:styleId="Char">
    <w:name w:val="Char"/>
    <w:basedOn w:val="a"/>
    <w:rsid w:val="00A1124B"/>
    <w:pPr>
      <w:spacing w:before="120" w:after="160" w:line="240" w:lineRule="exact"/>
    </w:pPr>
    <w:rPr>
      <w:rFonts w:ascii="Tahoma" w:eastAsia="Times New Roman" w:hAnsi="Tahoma"/>
      <w:sz w:val="20"/>
      <w:szCs w:val="20"/>
      <w:lang w:val="en-US"/>
    </w:rPr>
  </w:style>
  <w:style w:type="paragraph" w:styleId="a6">
    <w:name w:val="Plain Text"/>
    <w:basedOn w:val="a"/>
    <w:link w:val="a7"/>
    <w:uiPriority w:val="99"/>
    <w:unhideWhenUsed/>
    <w:rsid w:val="00A1124B"/>
    <w:rPr>
      <w:rFonts w:eastAsia="Calibri"/>
      <w:szCs w:val="21"/>
      <w:lang w:eastAsia="en-US"/>
    </w:rPr>
  </w:style>
  <w:style w:type="character" w:customStyle="1" w:styleId="a7">
    <w:name w:val="Обикновен текст Знак"/>
    <w:basedOn w:val="a0"/>
    <w:link w:val="a6"/>
    <w:uiPriority w:val="99"/>
    <w:rsid w:val="00A1124B"/>
    <w:rPr>
      <w:rFonts w:ascii="Calibri" w:eastAsia="Calibri" w:hAnsi="Calibri"/>
      <w:sz w:val="22"/>
      <w:szCs w:val="21"/>
    </w:rPr>
  </w:style>
  <w:style w:type="paragraph" w:styleId="a8">
    <w:name w:val="List Paragraph"/>
    <w:basedOn w:val="a"/>
    <w:uiPriority w:val="34"/>
    <w:qFormat/>
    <w:rsid w:val="00C77BB3"/>
    <w:pPr>
      <w:ind w:left="708"/>
    </w:pPr>
    <w:rPr>
      <w:rFonts w:ascii="Times New Roman" w:eastAsia="Times New Roman" w:hAnsi="Times New Roman"/>
      <w:sz w:val="28"/>
      <w:szCs w:val="20"/>
      <w:lang w:val="en-GB" w:eastAsia="en-US"/>
    </w:rPr>
  </w:style>
  <w:style w:type="paragraph" w:customStyle="1" w:styleId="Char0">
    <w:name w:val="Char"/>
    <w:basedOn w:val="a"/>
    <w:rsid w:val="003F517F"/>
    <w:pPr>
      <w:spacing w:before="120" w:after="160" w:line="240" w:lineRule="exact"/>
    </w:pPr>
    <w:rPr>
      <w:rFonts w:ascii="Tahoma" w:eastAsia="Times New Roman" w:hAnsi="Tahoma"/>
      <w:sz w:val="20"/>
      <w:szCs w:val="20"/>
      <w:lang w:val="en-US"/>
    </w:rPr>
  </w:style>
  <w:style w:type="paragraph" w:styleId="a9">
    <w:name w:val="Normal (Web)"/>
    <w:basedOn w:val="a"/>
    <w:uiPriority w:val="99"/>
    <w:unhideWhenUsed/>
    <w:rsid w:val="00B51DD8"/>
    <w:pPr>
      <w:spacing w:before="100" w:beforeAutospacing="1" w:after="100" w:afterAutospacing="1"/>
    </w:pPr>
    <w:rPr>
      <w:rFonts w:ascii="Times New Roman" w:eastAsia="Calibr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677">
      <w:bodyDiv w:val="1"/>
      <w:marLeft w:val="0"/>
      <w:marRight w:val="0"/>
      <w:marTop w:val="0"/>
      <w:marBottom w:val="0"/>
      <w:divBdr>
        <w:top w:val="none" w:sz="0" w:space="0" w:color="auto"/>
        <w:left w:val="none" w:sz="0" w:space="0" w:color="auto"/>
        <w:bottom w:val="none" w:sz="0" w:space="0" w:color="auto"/>
        <w:right w:val="none" w:sz="0" w:space="0" w:color="auto"/>
      </w:divBdr>
    </w:div>
    <w:div w:id="1535538719">
      <w:bodyDiv w:val="1"/>
      <w:marLeft w:val="0"/>
      <w:marRight w:val="0"/>
      <w:marTop w:val="0"/>
      <w:marBottom w:val="0"/>
      <w:divBdr>
        <w:top w:val="none" w:sz="0" w:space="0" w:color="auto"/>
        <w:left w:val="none" w:sz="0" w:space="0" w:color="auto"/>
        <w:bottom w:val="none" w:sz="0" w:space="0" w:color="auto"/>
        <w:right w:val="none" w:sz="0" w:space="0" w:color="auto"/>
      </w:divBdr>
      <w:divsChild>
        <w:div w:id="1185899082">
          <w:marLeft w:val="0"/>
          <w:marRight w:val="0"/>
          <w:marTop w:val="0"/>
          <w:marBottom w:val="0"/>
          <w:divBdr>
            <w:top w:val="none" w:sz="0" w:space="0" w:color="auto"/>
            <w:left w:val="none" w:sz="0" w:space="0" w:color="auto"/>
            <w:bottom w:val="none" w:sz="0" w:space="0" w:color="auto"/>
            <w:right w:val="none" w:sz="0" w:space="0" w:color="auto"/>
          </w:divBdr>
          <w:divsChild>
            <w:div w:id="1006714351">
              <w:marLeft w:val="0"/>
              <w:marRight w:val="0"/>
              <w:marTop w:val="0"/>
              <w:marBottom w:val="0"/>
              <w:divBdr>
                <w:top w:val="none" w:sz="0" w:space="0" w:color="auto"/>
                <w:left w:val="none" w:sz="0" w:space="0" w:color="auto"/>
                <w:bottom w:val="none" w:sz="0" w:space="0" w:color="auto"/>
                <w:right w:val="none" w:sz="0" w:space="0" w:color="auto"/>
              </w:divBdr>
              <w:divsChild>
                <w:div w:id="2118408281">
                  <w:marLeft w:val="0"/>
                  <w:marRight w:val="0"/>
                  <w:marTop w:val="0"/>
                  <w:marBottom w:val="0"/>
                  <w:divBdr>
                    <w:top w:val="none" w:sz="0" w:space="0" w:color="auto"/>
                    <w:left w:val="none" w:sz="0" w:space="0" w:color="auto"/>
                    <w:bottom w:val="none" w:sz="0" w:space="0" w:color="auto"/>
                    <w:right w:val="none" w:sz="0" w:space="0" w:color="auto"/>
                  </w:divBdr>
                </w:div>
                <w:div w:id="1936592116">
                  <w:marLeft w:val="0"/>
                  <w:marRight w:val="0"/>
                  <w:marTop w:val="0"/>
                  <w:marBottom w:val="0"/>
                  <w:divBdr>
                    <w:top w:val="none" w:sz="0" w:space="0" w:color="auto"/>
                    <w:left w:val="none" w:sz="0" w:space="0" w:color="auto"/>
                    <w:bottom w:val="none" w:sz="0" w:space="0" w:color="auto"/>
                    <w:right w:val="none" w:sz="0" w:space="0" w:color="auto"/>
                  </w:divBdr>
                </w:div>
                <w:div w:id="123236749">
                  <w:marLeft w:val="0"/>
                  <w:marRight w:val="0"/>
                  <w:marTop w:val="0"/>
                  <w:marBottom w:val="0"/>
                  <w:divBdr>
                    <w:top w:val="none" w:sz="0" w:space="0" w:color="auto"/>
                    <w:left w:val="none" w:sz="0" w:space="0" w:color="auto"/>
                    <w:bottom w:val="none" w:sz="0" w:space="0" w:color="auto"/>
                    <w:right w:val="none" w:sz="0" w:space="0" w:color="auto"/>
                  </w:divBdr>
                </w:div>
                <w:div w:id="1543205045">
                  <w:marLeft w:val="0"/>
                  <w:marRight w:val="0"/>
                  <w:marTop w:val="0"/>
                  <w:marBottom w:val="0"/>
                  <w:divBdr>
                    <w:top w:val="none" w:sz="0" w:space="0" w:color="auto"/>
                    <w:left w:val="none" w:sz="0" w:space="0" w:color="auto"/>
                    <w:bottom w:val="none" w:sz="0" w:space="0" w:color="auto"/>
                    <w:right w:val="none" w:sz="0" w:space="0" w:color="auto"/>
                  </w:divBdr>
                </w:div>
                <w:div w:id="1924216358">
                  <w:marLeft w:val="0"/>
                  <w:marRight w:val="0"/>
                  <w:marTop w:val="0"/>
                  <w:marBottom w:val="0"/>
                  <w:divBdr>
                    <w:top w:val="none" w:sz="0" w:space="0" w:color="auto"/>
                    <w:left w:val="none" w:sz="0" w:space="0" w:color="auto"/>
                    <w:bottom w:val="none" w:sz="0" w:space="0" w:color="auto"/>
                    <w:right w:val="none" w:sz="0" w:space="0" w:color="auto"/>
                  </w:divBdr>
                </w:div>
                <w:div w:id="1971475909">
                  <w:marLeft w:val="0"/>
                  <w:marRight w:val="0"/>
                  <w:marTop w:val="0"/>
                  <w:marBottom w:val="0"/>
                  <w:divBdr>
                    <w:top w:val="none" w:sz="0" w:space="0" w:color="auto"/>
                    <w:left w:val="none" w:sz="0" w:space="0" w:color="auto"/>
                    <w:bottom w:val="none" w:sz="0" w:space="0" w:color="auto"/>
                    <w:right w:val="none" w:sz="0" w:space="0" w:color="auto"/>
                  </w:divBdr>
                </w:div>
                <w:div w:id="34894049">
                  <w:marLeft w:val="0"/>
                  <w:marRight w:val="0"/>
                  <w:marTop w:val="0"/>
                  <w:marBottom w:val="0"/>
                  <w:divBdr>
                    <w:top w:val="none" w:sz="0" w:space="0" w:color="auto"/>
                    <w:left w:val="none" w:sz="0" w:space="0" w:color="auto"/>
                    <w:bottom w:val="none" w:sz="0" w:space="0" w:color="auto"/>
                    <w:right w:val="none" w:sz="0" w:space="0" w:color="auto"/>
                  </w:divBdr>
                </w:div>
                <w:div w:id="149954551">
                  <w:marLeft w:val="0"/>
                  <w:marRight w:val="0"/>
                  <w:marTop w:val="0"/>
                  <w:marBottom w:val="0"/>
                  <w:divBdr>
                    <w:top w:val="none" w:sz="0" w:space="0" w:color="auto"/>
                    <w:left w:val="none" w:sz="0" w:space="0" w:color="auto"/>
                    <w:bottom w:val="none" w:sz="0" w:space="0" w:color="auto"/>
                    <w:right w:val="none" w:sz="0" w:space="0" w:color="auto"/>
                  </w:divBdr>
                </w:div>
                <w:div w:id="1343629017">
                  <w:marLeft w:val="0"/>
                  <w:marRight w:val="0"/>
                  <w:marTop w:val="0"/>
                  <w:marBottom w:val="0"/>
                  <w:divBdr>
                    <w:top w:val="none" w:sz="0" w:space="0" w:color="auto"/>
                    <w:left w:val="none" w:sz="0" w:space="0" w:color="auto"/>
                    <w:bottom w:val="none" w:sz="0" w:space="0" w:color="auto"/>
                    <w:right w:val="none" w:sz="0" w:space="0" w:color="auto"/>
                  </w:divBdr>
                </w:div>
                <w:div w:id="1422529743">
                  <w:marLeft w:val="0"/>
                  <w:marRight w:val="0"/>
                  <w:marTop w:val="0"/>
                  <w:marBottom w:val="0"/>
                  <w:divBdr>
                    <w:top w:val="none" w:sz="0" w:space="0" w:color="auto"/>
                    <w:left w:val="none" w:sz="0" w:space="0" w:color="auto"/>
                    <w:bottom w:val="none" w:sz="0" w:space="0" w:color="auto"/>
                    <w:right w:val="none" w:sz="0" w:space="0" w:color="auto"/>
                  </w:divBdr>
                </w:div>
                <w:div w:id="1749619964">
                  <w:marLeft w:val="0"/>
                  <w:marRight w:val="0"/>
                  <w:marTop w:val="0"/>
                  <w:marBottom w:val="0"/>
                  <w:divBdr>
                    <w:top w:val="none" w:sz="0" w:space="0" w:color="auto"/>
                    <w:left w:val="none" w:sz="0" w:space="0" w:color="auto"/>
                    <w:bottom w:val="none" w:sz="0" w:space="0" w:color="auto"/>
                    <w:right w:val="none" w:sz="0" w:space="0" w:color="auto"/>
                  </w:divBdr>
                </w:div>
                <w:div w:id="156775851">
                  <w:marLeft w:val="0"/>
                  <w:marRight w:val="0"/>
                  <w:marTop w:val="0"/>
                  <w:marBottom w:val="0"/>
                  <w:divBdr>
                    <w:top w:val="none" w:sz="0" w:space="0" w:color="auto"/>
                    <w:left w:val="none" w:sz="0" w:space="0" w:color="auto"/>
                    <w:bottom w:val="none" w:sz="0" w:space="0" w:color="auto"/>
                    <w:right w:val="none" w:sz="0" w:space="0" w:color="auto"/>
                  </w:divBdr>
                </w:div>
                <w:div w:id="1989088741">
                  <w:marLeft w:val="0"/>
                  <w:marRight w:val="0"/>
                  <w:marTop w:val="0"/>
                  <w:marBottom w:val="0"/>
                  <w:divBdr>
                    <w:top w:val="none" w:sz="0" w:space="0" w:color="auto"/>
                    <w:left w:val="none" w:sz="0" w:space="0" w:color="auto"/>
                    <w:bottom w:val="none" w:sz="0" w:space="0" w:color="auto"/>
                    <w:right w:val="none" w:sz="0" w:space="0" w:color="auto"/>
                  </w:divBdr>
                </w:div>
                <w:div w:id="147092756">
                  <w:marLeft w:val="0"/>
                  <w:marRight w:val="0"/>
                  <w:marTop w:val="0"/>
                  <w:marBottom w:val="0"/>
                  <w:divBdr>
                    <w:top w:val="none" w:sz="0" w:space="0" w:color="auto"/>
                    <w:left w:val="none" w:sz="0" w:space="0" w:color="auto"/>
                    <w:bottom w:val="none" w:sz="0" w:space="0" w:color="auto"/>
                    <w:right w:val="none" w:sz="0" w:space="0" w:color="auto"/>
                  </w:divBdr>
                </w:div>
                <w:div w:id="784270654">
                  <w:marLeft w:val="0"/>
                  <w:marRight w:val="0"/>
                  <w:marTop w:val="0"/>
                  <w:marBottom w:val="0"/>
                  <w:divBdr>
                    <w:top w:val="none" w:sz="0" w:space="0" w:color="auto"/>
                    <w:left w:val="none" w:sz="0" w:space="0" w:color="auto"/>
                    <w:bottom w:val="none" w:sz="0" w:space="0" w:color="auto"/>
                    <w:right w:val="none" w:sz="0" w:space="0" w:color="auto"/>
                  </w:divBdr>
                </w:div>
                <w:div w:id="321276203">
                  <w:marLeft w:val="0"/>
                  <w:marRight w:val="0"/>
                  <w:marTop w:val="0"/>
                  <w:marBottom w:val="0"/>
                  <w:divBdr>
                    <w:top w:val="none" w:sz="0" w:space="0" w:color="auto"/>
                    <w:left w:val="none" w:sz="0" w:space="0" w:color="auto"/>
                    <w:bottom w:val="none" w:sz="0" w:space="0" w:color="auto"/>
                    <w:right w:val="none" w:sz="0" w:space="0" w:color="auto"/>
                  </w:divBdr>
                </w:div>
                <w:div w:id="509179037">
                  <w:marLeft w:val="0"/>
                  <w:marRight w:val="0"/>
                  <w:marTop w:val="0"/>
                  <w:marBottom w:val="0"/>
                  <w:divBdr>
                    <w:top w:val="none" w:sz="0" w:space="0" w:color="auto"/>
                    <w:left w:val="none" w:sz="0" w:space="0" w:color="auto"/>
                    <w:bottom w:val="none" w:sz="0" w:space="0" w:color="auto"/>
                    <w:right w:val="none" w:sz="0" w:space="0" w:color="auto"/>
                  </w:divBdr>
                </w:div>
                <w:div w:id="1702198764">
                  <w:marLeft w:val="0"/>
                  <w:marRight w:val="0"/>
                  <w:marTop w:val="0"/>
                  <w:marBottom w:val="0"/>
                  <w:divBdr>
                    <w:top w:val="none" w:sz="0" w:space="0" w:color="auto"/>
                    <w:left w:val="none" w:sz="0" w:space="0" w:color="auto"/>
                    <w:bottom w:val="none" w:sz="0" w:space="0" w:color="auto"/>
                    <w:right w:val="none" w:sz="0" w:space="0" w:color="auto"/>
                  </w:divBdr>
                </w:div>
                <w:div w:id="1903639374">
                  <w:marLeft w:val="0"/>
                  <w:marRight w:val="0"/>
                  <w:marTop w:val="0"/>
                  <w:marBottom w:val="0"/>
                  <w:divBdr>
                    <w:top w:val="none" w:sz="0" w:space="0" w:color="auto"/>
                    <w:left w:val="none" w:sz="0" w:space="0" w:color="auto"/>
                    <w:bottom w:val="none" w:sz="0" w:space="0" w:color="auto"/>
                    <w:right w:val="none" w:sz="0" w:space="0" w:color="auto"/>
                  </w:divBdr>
                </w:div>
                <w:div w:id="1174344229">
                  <w:marLeft w:val="0"/>
                  <w:marRight w:val="0"/>
                  <w:marTop w:val="0"/>
                  <w:marBottom w:val="0"/>
                  <w:divBdr>
                    <w:top w:val="none" w:sz="0" w:space="0" w:color="auto"/>
                    <w:left w:val="none" w:sz="0" w:space="0" w:color="auto"/>
                    <w:bottom w:val="none" w:sz="0" w:space="0" w:color="auto"/>
                    <w:right w:val="none" w:sz="0" w:space="0" w:color="auto"/>
                  </w:divBdr>
                </w:div>
                <w:div w:id="697505799">
                  <w:marLeft w:val="0"/>
                  <w:marRight w:val="0"/>
                  <w:marTop w:val="0"/>
                  <w:marBottom w:val="0"/>
                  <w:divBdr>
                    <w:top w:val="none" w:sz="0" w:space="0" w:color="auto"/>
                    <w:left w:val="none" w:sz="0" w:space="0" w:color="auto"/>
                    <w:bottom w:val="none" w:sz="0" w:space="0" w:color="auto"/>
                    <w:right w:val="none" w:sz="0" w:space="0" w:color="auto"/>
                  </w:divBdr>
                </w:div>
                <w:div w:id="1188636890">
                  <w:marLeft w:val="0"/>
                  <w:marRight w:val="0"/>
                  <w:marTop w:val="0"/>
                  <w:marBottom w:val="0"/>
                  <w:divBdr>
                    <w:top w:val="none" w:sz="0" w:space="0" w:color="auto"/>
                    <w:left w:val="none" w:sz="0" w:space="0" w:color="auto"/>
                    <w:bottom w:val="none" w:sz="0" w:space="0" w:color="auto"/>
                    <w:right w:val="none" w:sz="0" w:space="0" w:color="auto"/>
                  </w:divBdr>
                </w:div>
                <w:div w:id="1364093785">
                  <w:marLeft w:val="0"/>
                  <w:marRight w:val="0"/>
                  <w:marTop w:val="0"/>
                  <w:marBottom w:val="0"/>
                  <w:divBdr>
                    <w:top w:val="none" w:sz="0" w:space="0" w:color="auto"/>
                    <w:left w:val="none" w:sz="0" w:space="0" w:color="auto"/>
                    <w:bottom w:val="none" w:sz="0" w:space="0" w:color="auto"/>
                    <w:right w:val="none" w:sz="0" w:space="0" w:color="auto"/>
                  </w:divBdr>
                </w:div>
                <w:div w:id="1423064040">
                  <w:marLeft w:val="0"/>
                  <w:marRight w:val="0"/>
                  <w:marTop w:val="0"/>
                  <w:marBottom w:val="0"/>
                  <w:divBdr>
                    <w:top w:val="none" w:sz="0" w:space="0" w:color="auto"/>
                    <w:left w:val="none" w:sz="0" w:space="0" w:color="auto"/>
                    <w:bottom w:val="none" w:sz="0" w:space="0" w:color="auto"/>
                    <w:right w:val="none" w:sz="0" w:space="0" w:color="auto"/>
                  </w:divBdr>
                </w:div>
                <w:div w:id="1466855869">
                  <w:marLeft w:val="0"/>
                  <w:marRight w:val="0"/>
                  <w:marTop w:val="0"/>
                  <w:marBottom w:val="0"/>
                  <w:divBdr>
                    <w:top w:val="none" w:sz="0" w:space="0" w:color="auto"/>
                    <w:left w:val="none" w:sz="0" w:space="0" w:color="auto"/>
                    <w:bottom w:val="none" w:sz="0" w:space="0" w:color="auto"/>
                    <w:right w:val="none" w:sz="0" w:space="0" w:color="auto"/>
                  </w:divBdr>
                </w:div>
                <w:div w:id="2076472115">
                  <w:marLeft w:val="0"/>
                  <w:marRight w:val="0"/>
                  <w:marTop w:val="0"/>
                  <w:marBottom w:val="0"/>
                  <w:divBdr>
                    <w:top w:val="none" w:sz="0" w:space="0" w:color="auto"/>
                    <w:left w:val="none" w:sz="0" w:space="0" w:color="auto"/>
                    <w:bottom w:val="none" w:sz="0" w:space="0" w:color="auto"/>
                    <w:right w:val="none" w:sz="0" w:space="0" w:color="auto"/>
                  </w:divBdr>
                </w:div>
                <w:div w:id="201939691">
                  <w:marLeft w:val="0"/>
                  <w:marRight w:val="0"/>
                  <w:marTop w:val="0"/>
                  <w:marBottom w:val="0"/>
                  <w:divBdr>
                    <w:top w:val="none" w:sz="0" w:space="0" w:color="auto"/>
                    <w:left w:val="none" w:sz="0" w:space="0" w:color="auto"/>
                    <w:bottom w:val="none" w:sz="0" w:space="0" w:color="auto"/>
                    <w:right w:val="none" w:sz="0" w:space="0" w:color="auto"/>
                  </w:divBdr>
                </w:div>
                <w:div w:id="345056191">
                  <w:marLeft w:val="0"/>
                  <w:marRight w:val="0"/>
                  <w:marTop w:val="0"/>
                  <w:marBottom w:val="0"/>
                  <w:divBdr>
                    <w:top w:val="none" w:sz="0" w:space="0" w:color="auto"/>
                    <w:left w:val="none" w:sz="0" w:space="0" w:color="auto"/>
                    <w:bottom w:val="none" w:sz="0" w:space="0" w:color="auto"/>
                    <w:right w:val="none" w:sz="0" w:space="0" w:color="auto"/>
                  </w:divBdr>
                </w:div>
                <w:div w:id="2062945738">
                  <w:marLeft w:val="0"/>
                  <w:marRight w:val="0"/>
                  <w:marTop w:val="0"/>
                  <w:marBottom w:val="0"/>
                  <w:divBdr>
                    <w:top w:val="none" w:sz="0" w:space="0" w:color="auto"/>
                    <w:left w:val="none" w:sz="0" w:space="0" w:color="auto"/>
                    <w:bottom w:val="none" w:sz="0" w:space="0" w:color="auto"/>
                    <w:right w:val="none" w:sz="0" w:space="0" w:color="auto"/>
                  </w:divBdr>
                </w:div>
                <w:div w:id="413940812">
                  <w:marLeft w:val="0"/>
                  <w:marRight w:val="0"/>
                  <w:marTop w:val="0"/>
                  <w:marBottom w:val="0"/>
                  <w:divBdr>
                    <w:top w:val="none" w:sz="0" w:space="0" w:color="auto"/>
                    <w:left w:val="none" w:sz="0" w:space="0" w:color="auto"/>
                    <w:bottom w:val="none" w:sz="0" w:space="0" w:color="auto"/>
                    <w:right w:val="none" w:sz="0" w:space="0" w:color="auto"/>
                  </w:divBdr>
                </w:div>
              </w:divsChild>
            </w:div>
            <w:div w:id="423838250">
              <w:marLeft w:val="0"/>
              <w:marRight w:val="0"/>
              <w:marTop w:val="0"/>
              <w:marBottom w:val="0"/>
              <w:divBdr>
                <w:top w:val="none" w:sz="0" w:space="0" w:color="auto"/>
                <w:left w:val="none" w:sz="0" w:space="0" w:color="auto"/>
                <w:bottom w:val="none" w:sz="0" w:space="0" w:color="auto"/>
                <w:right w:val="none" w:sz="0" w:space="0" w:color="auto"/>
              </w:divBdr>
            </w:div>
            <w:div w:id="1918437695">
              <w:marLeft w:val="0"/>
              <w:marRight w:val="0"/>
              <w:marTop w:val="0"/>
              <w:marBottom w:val="0"/>
              <w:divBdr>
                <w:top w:val="none" w:sz="0" w:space="0" w:color="auto"/>
                <w:left w:val="none" w:sz="0" w:space="0" w:color="auto"/>
                <w:bottom w:val="none" w:sz="0" w:space="0" w:color="auto"/>
                <w:right w:val="none" w:sz="0" w:space="0" w:color="auto"/>
              </w:divBdr>
            </w:div>
            <w:div w:id="812871338">
              <w:marLeft w:val="0"/>
              <w:marRight w:val="0"/>
              <w:marTop w:val="0"/>
              <w:marBottom w:val="0"/>
              <w:divBdr>
                <w:top w:val="none" w:sz="0" w:space="0" w:color="auto"/>
                <w:left w:val="none" w:sz="0" w:space="0" w:color="auto"/>
                <w:bottom w:val="none" w:sz="0" w:space="0" w:color="auto"/>
                <w:right w:val="none" w:sz="0" w:space="0" w:color="auto"/>
              </w:divBdr>
            </w:div>
            <w:div w:id="132216695">
              <w:marLeft w:val="0"/>
              <w:marRight w:val="0"/>
              <w:marTop w:val="0"/>
              <w:marBottom w:val="0"/>
              <w:divBdr>
                <w:top w:val="none" w:sz="0" w:space="0" w:color="auto"/>
                <w:left w:val="none" w:sz="0" w:space="0" w:color="auto"/>
                <w:bottom w:val="none" w:sz="0" w:space="0" w:color="auto"/>
                <w:right w:val="none" w:sz="0" w:space="0" w:color="auto"/>
              </w:divBdr>
            </w:div>
            <w:div w:id="1179462940">
              <w:marLeft w:val="0"/>
              <w:marRight w:val="0"/>
              <w:marTop w:val="0"/>
              <w:marBottom w:val="0"/>
              <w:divBdr>
                <w:top w:val="none" w:sz="0" w:space="0" w:color="auto"/>
                <w:left w:val="none" w:sz="0" w:space="0" w:color="auto"/>
                <w:bottom w:val="none" w:sz="0" w:space="0" w:color="auto"/>
                <w:right w:val="none" w:sz="0" w:space="0" w:color="auto"/>
              </w:divBdr>
            </w:div>
            <w:div w:id="386808134">
              <w:marLeft w:val="0"/>
              <w:marRight w:val="0"/>
              <w:marTop w:val="0"/>
              <w:marBottom w:val="0"/>
              <w:divBdr>
                <w:top w:val="none" w:sz="0" w:space="0" w:color="auto"/>
                <w:left w:val="none" w:sz="0" w:space="0" w:color="auto"/>
                <w:bottom w:val="none" w:sz="0" w:space="0" w:color="auto"/>
                <w:right w:val="none" w:sz="0" w:space="0" w:color="auto"/>
              </w:divBdr>
            </w:div>
            <w:div w:id="1545603095">
              <w:marLeft w:val="0"/>
              <w:marRight w:val="0"/>
              <w:marTop w:val="0"/>
              <w:marBottom w:val="0"/>
              <w:divBdr>
                <w:top w:val="none" w:sz="0" w:space="0" w:color="auto"/>
                <w:left w:val="none" w:sz="0" w:space="0" w:color="auto"/>
                <w:bottom w:val="none" w:sz="0" w:space="0" w:color="auto"/>
                <w:right w:val="none" w:sz="0" w:space="0" w:color="auto"/>
              </w:divBdr>
            </w:div>
            <w:div w:id="1859194641">
              <w:marLeft w:val="0"/>
              <w:marRight w:val="0"/>
              <w:marTop w:val="0"/>
              <w:marBottom w:val="0"/>
              <w:divBdr>
                <w:top w:val="none" w:sz="0" w:space="0" w:color="auto"/>
                <w:left w:val="none" w:sz="0" w:space="0" w:color="auto"/>
                <w:bottom w:val="none" w:sz="0" w:space="0" w:color="auto"/>
                <w:right w:val="none" w:sz="0" w:space="0" w:color="auto"/>
              </w:divBdr>
            </w:div>
            <w:div w:id="123620260">
              <w:marLeft w:val="0"/>
              <w:marRight w:val="0"/>
              <w:marTop w:val="0"/>
              <w:marBottom w:val="0"/>
              <w:divBdr>
                <w:top w:val="none" w:sz="0" w:space="0" w:color="auto"/>
                <w:left w:val="none" w:sz="0" w:space="0" w:color="auto"/>
                <w:bottom w:val="none" w:sz="0" w:space="0" w:color="auto"/>
                <w:right w:val="none" w:sz="0" w:space="0" w:color="auto"/>
              </w:divBdr>
            </w:div>
            <w:div w:id="1693458565">
              <w:marLeft w:val="0"/>
              <w:marRight w:val="0"/>
              <w:marTop w:val="0"/>
              <w:marBottom w:val="0"/>
              <w:divBdr>
                <w:top w:val="none" w:sz="0" w:space="0" w:color="auto"/>
                <w:left w:val="none" w:sz="0" w:space="0" w:color="auto"/>
                <w:bottom w:val="none" w:sz="0" w:space="0" w:color="auto"/>
                <w:right w:val="none" w:sz="0" w:space="0" w:color="auto"/>
              </w:divBdr>
            </w:div>
            <w:div w:id="584807398">
              <w:marLeft w:val="0"/>
              <w:marRight w:val="0"/>
              <w:marTop w:val="0"/>
              <w:marBottom w:val="0"/>
              <w:divBdr>
                <w:top w:val="none" w:sz="0" w:space="0" w:color="auto"/>
                <w:left w:val="none" w:sz="0" w:space="0" w:color="auto"/>
                <w:bottom w:val="none" w:sz="0" w:space="0" w:color="auto"/>
                <w:right w:val="none" w:sz="0" w:space="0" w:color="auto"/>
              </w:divBdr>
            </w:div>
            <w:div w:id="1541551620">
              <w:marLeft w:val="0"/>
              <w:marRight w:val="0"/>
              <w:marTop w:val="0"/>
              <w:marBottom w:val="0"/>
              <w:divBdr>
                <w:top w:val="none" w:sz="0" w:space="0" w:color="auto"/>
                <w:left w:val="none" w:sz="0" w:space="0" w:color="auto"/>
                <w:bottom w:val="none" w:sz="0" w:space="0" w:color="auto"/>
                <w:right w:val="none" w:sz="0" w:space="0" w:color="auto"/>
              </w:divBdr>
            </w:div>
            <w:div w:id="1573589190">
              <w:marLeft w:val="0"/>
              <w:marRight w:val="0"/>
              <w:marTop w:val="0"/>
              <w:marBottom w:val="0"/>
              <w:divBdr>
                <w:top w:val="none" w:sz="0" w:space="0" w:color="auto"/>
                <w:left w:val="none" w:sz="0" w:space="0" w:color="auto"/>
                <w:bottom w:val="none" w:sz="0" w:space="0" w:color="auto"/>
                <w:right w:val="none" w:sz="0" w:space="0" w:color="auto"/>
              </w:divBdr>
            </w:div>
            <w:div w:id="184826621">
              <w:marLeft w:val="0"/>
              <w:marRight w:val="0"/>
              <w:marTop w:val="0"/>
              <w:marBottom w:val="0"/>
              <w:divBdr>
                <w:top w:val="none" w:sz="0" w:space="0" w:color="auto"/>
                <w:left w:val="none" w:sz="0" w:space="0" w:color="auto"/>
                <w:bottom w:val="none" w:sz="0" w:space="0" w:color="auto"/>
                <w:right w:val="none" w:sz="0" w:space="0" w:color="auto"/>
              </w:divBdr>
            </w:div>
            <w:div w:id="304628509">
              <w:marLeft w:val="0"/>
              <w:marRight w:val="0"/>
              <w:marTop w:val="0"/>
              <w:marBottom w:val="0"/>
              <w:divBdr>
                <w:top w:val="none" w:sz="0" w:space="0" w:color="auto"/>
                <w:left w:val="none" w:sz="0" w:space="0" w:color="auto"/>
                <w:bottom w:val="none" w:sz="0" w:space="0" w:color="auto"/>
                <w:right w:val="none" w:sz="0" w:space="0" w:color="auto"/>
              </w:divBdr>
            </w:div>
            <w:div w:id="1118380395">
              <w:marLeft w:val="0"/>
              <w:marRight w:val="0"/>
              <w:marTop w:val="0"/>
              <w:marBottom w:val="0"/>
              <w:divBdr>
                <w:top w:val="none" w:sz="0" w:space="0" w:color="auto"/>
                <w:left w:val="none" w:sz="0" w:space="0" w:color="auto"/>
                <w:bottom w:val="none" w:sz="0" w:space="0" w:color="auto"/>
                <w:right w:val="none" w:sz="0" w:space="0" w:color="auto"/>
              </w:divBdr>
            </w:div>
            <w:div w:id="210727899">
              <w:marLeft w:val="0"/>
              <w:marRight w:val="0"/>
              <w:marTop w:val="0"/>
              <w:marBottom w:val="0"/>
              <w:divBdr>
                <w:top w:val="none" w:sz="0" w:space="0" w:color="auto"/>
                <w:left w:val="none" w:sz="0" w:space="0" w:color="auto"/>
                <w:bottom w:val="none" w:sz="0" w:space="0" w:color="auto"/>
                <w:right w:val="none" w:sz="0" w:space="0" w:color="auto"/>
              </w:divBdr>
            </w:div>
            <w:div w:id="1305425157">
              <w:marLeft w:val="0"/>
              <w:marRight w:val="0"/>
              <w:marTop w:val="0"/>
              <w:marBottom w:val="0"/>
              <w:divBdr>
                <w:top w:val="none" w:sz="0" w:space="0" w:color="auto"/>
                <w:left w:val="none" w:sz="0" w:space="0" w:color="auto"/>
                <w:bottom w:val="none" w:sz="0" w:space="0" w:color="auto"/>
                <w:right w:val="none" w:sz="0" w:space="0" w:color="auto"/>
              </w:divBdr>
            </w:div>
            <w:div w:id="459763178">
              <w:marLeft w:val="0"/>
              <w:marRight w:val="0"/>
              <w:marTop w:val="0"/>
              <w:marBottom w:val="0"/>
              <w:divBdr>
                <w:top w:val="none" w:sz="0" w:space="0" w:color="auto"/>
                <w:left w:val="none" w:sz="0" w:space="0" w:color="auto"/>
                <w:bottom w:val="none" w:sz="0" w:space="0" w:color="auto"/>
                <w:right w:val="none" w:sz="0" w:space="0" w:color="auto"/>
              </w:divBdr>
            </w:div>
            <w:div w:id="1616403444">
              <w:marLeft w:val="0"/>
              <w:marRight w:val="0"/>
              <w:marTop w:val="0"/>
              <w:marBottom w:val="0"/>
              <w:divBdr>
                <w:top w:val="none" w:sz="0" w:space="0" w:color="auto"/>
                <w:left w:val="none" w:sz="0" w:space="0" w:color="auto"/>
                <w:bottom w:val="none" w:sz="0" w:space="0" w:color="auto"/>
                <w:right w:val="none" w:sz="0" w:space="0" w:color="auto"/>
              </w:divBdr>
            </w:div>
            <w:div w:id="1440878026">
              <w:marLeft w:val="0"/>
              <w:marRight w:val="0"/>
              <w:marTop w:val="0"/>
              <w:marBottom w:val="0"/>
              <w:divBdr>
                <w:top w:val="none" w:sz="0" w:space="0" w:color="auto"/>
                <w:left w:val="none" w:sz="0" w:space="0" w:color="auto"/>
                <w:bottom w:val="none" w:sz="0" w:space="0" w:color="auto"/>
                <w:right w:val="none" w:sz="0" w:space="0" w:color="auto"/>
              </w:divBdr>
            </w:div>
            <w:div w:id="273095678">
              <w:marLeft w:val="0"/>
              <w:marRight w:val="0"/>
              <w:marTop w:val="0"/>
              <w:marBottom w:val="0"/>
              <w:divBdr>
                <w:top w:val="none" w:sz="0" w:space="0" w:color="auto"/>
                <w:left w:val="none" w:sz="0" w:space="0" w:color="auto"/>
                <w:bottom w:val="none" w:sz="0" w:space="0" w:color="auto"/>
                <w:right w:val="none" w:sz="0" w:space="0" w:color="auto"/>
              </w:divBdr>
            </w:div>
            <w:div w:id="1813673995">
              <w:marLeft w:val="0"/>
              <w:marRight w:val="0"/>
              <w:marTop w:val="0"/>
              <w:marBottom w:val="0"/>
              <w:divBdr>
                <w:top w:val="none" w:sz="0" w:space="0" w:color="auto"/>
                <w:left w:val="none" w:sz="0" w:space="0" w:color="auto"/>
                <w:bottom w:val="none" w:sz="0" w:space="0" w:color="auto"/>
                <w:right w:val="none" w:sz="0" w:space="0" w:color="auto"/>
              </w:divBdr>
            </w:div>
            <w:div w:id="2078016541">
              <w:marLeft w:val="0"/>
              <w:marRight w:val="0"/>
              <w:marTop w:val="0"/>
              <w:marBottom w:val="0"/>
              <w:divBdr>
                <w:top w:val="none" w:sz="0" w:space="0" w:color="auto"/>
                <w:left w:val="none" w:sz="0" w:space="0" w:color="auto"/>
                <w:bottom w:val="none" w:sz="0" w:space="0" w:color="auto"/>
                <w:right w:val="none" w:sz="0" w:space="0" w:color="auto"/>
              </w:divBdr>
            </w:div>
            <w:div w:id="1620182857">
              <w:marLeft w:val="0"/>
              <w:marRight w:val="0"/>
              <w:marTop w:val="0"/>
              <w:marBottom w:val="0"/>
              <w:divBdr>
                <w:top w:val="none" w:sz="0" w:space="0" w:color="auto"/>
                <w:left w:val="none" w:sz="0" w:space="0" w:color="auto"/>
                <w:bottom w:val="none" w:sz="0" w:space="0" w:color="auto"/>
                <w:right w:val="none" w:sz="0" w:space="0" w:color="auto"/>
              </w:divBdr>
            </w:div>
            <w:div w:id="254483713">
              <w:marLeft w:val="0"/>
              <w:marRight w:val="0"/>
              <w:marTop w:val="0"/>
              <w:marBottom w:val="0"/>
              <w:divBdr>
                <w:top w:val="none" w:sz="0" w:space="0" w:color="auto"/>
                <w:left w:val="none" w:sz="0" w:space="0" w:color="auto"/>
                <w:bottom w:val="none" w:sz="0" w:space="0" w:color="auto"/>
                <w:right w:val="none" w:sz="0" w:space="0" w:color="auto"/>
              </w:divBdr>
            </w:div>
            <w:div w:id="1283414001">
              <w:marLeft w:val="0"/>
              <w:marRight w:val="0"/>
              <w:marTop w:val="0"/>
              <w:marBottom w:val="0"/>
              <w:divBdr>
                <w:top w:val="none" w:sz="0" w:space="0" w:color="auto"/>
                <w:left w:val="none" w:sz="0" w:space="0" w:color="auto"/>
                <w:bottom w:val="none" w:sz="0" w:space="0" w:color="auto"/>
                <w:right w:val="none" w:sz="0" w:space="0" w:color="auto"/>
              </w:divBdr>
            </w:div>
            <w:div w:id="1591574501">
              <w:marLeft w:val="0"/>
              <w:marRight w:val="0"/>
              <w:marTop w:val="0"/>
              <w:marBottom w:val="0"/>
              <w:divBdr>
                <w:top w:val="none" w:sz="0" w:space="0" w:color="auto"/>
                <w:left w:val="none" w:sz="0" w:space="0" w:color="auto"/>
                <w:bottom w:val="none" w:sz="0" w:space="0" w:color="auto"/>
                <w:right w:val="none" w:sz="0" w:space="0" w:color="auto"/>
              </w:divBdr>
            </w:div>
            <w:div w:id="644118920">
              <w:marLeft w:val="0"/>
              <w:marRight w:val="0"/>
              <w:marTop w:val="0"/>
              <w:marBottom w:val="0"/>
              <w:divBdr>
                <w:top w:val="none" w:sz="0" w:space="0" w:color="auto"/>
                <w:left w:val="none" w:sz="0" w:space="0" w:color="auto"/>
                <w:bottom w:val="none" w:sz="0" w:space="0" w:color="auto"/>
                <w:right w:val="none" w:sz="0" w:space="0" w:color="auto"/>
              </w:divBdr>
            </w:div>
            <w:div w:id="211773145">
              <w:marLeft w:val="0"/>
              <w:marRight w:val="0"/>
              <w:marTop w:val="0"/>
              <w:marBottom w:val="0"/>
              <w:divBdr>
                <w:top w:val="none" w:sz="0" w:space="0" w:color="auto"/>
                <w:left w:val="none" w:sz="0" w:space="0" w:color="auto"/>
                <w:bottom w:val="none" w:sz="0" w:space="0" w:color="auto"/>
                <w:right w:val="none" w:sz="0" w:space="0" w:color="auto"/>
              </w:divBdr>
            </w:div>
            <w:div w:id="869538787">
              <w:marLeft w:val="0"/>
              <w:marRight w:val="0"/>
              <w:marTop w:val="0"/>
              <w:marBottom w:val="0"/>
              <w:divBdr>
                <w:top w:val="none" w:sz="0" w:space="0" w:color="auto"/>
                <w:left w:val="none" w:sz="0" w:space="0" w:color="auto"/>
                <w:bottom w:val="none" w:sz="0" w:space="0" w:color="auto"/>
                <w:right w:val="none" w:sz="0" w:space="0" w:color="auto"/>
              </w:divBdr>
            </w:div>
            <w:div w:id="1465807460">
              <w:marLeft w:val="0"/>
              <w:marRight w:val="0"/>
              <w:marTop w:val="0"/>
              <w:marBottom w:val="0"/>
              <w:divBdr>
                <w:top w:val="none" w:sz="0" w:space="0" w:color="auto"/>
                <w:left w:val="none" w:sz="0" w:space="0" w:color="auto"/>
                <w:bottom w:val="none" w:sz="0" w:space="0" w:color="auto"/>
                <w:right w:val="none" w:sz="0" w:space="0" w:color="auto"/>
              </w:divBdr>
            </w:div>
            <w:div w:id="34623241">
              <w:marLeft w:val="0"/>
              <w:marRight w:val="0"/>
              <w:marTop w:val="0"/>
              <w:marBottom w:val="0"/>
              <w:divBdr>
                <w:top w:val="none" w:sz="0" w:space="0" w:color="auto"/>
                <w:left w:val="none" w:sz="0" w:space="0" w:color="auto"/>
                <w:bottom w:val="none" w:sz="0" w:space="0" w:color="auto"/>
                <w:right w:val="none" w:sz="0" w:space="0" w:color="auto"/>
              </w:divBdr>
            </w:div>
            <w:div w:id="840967985">
              <w:marLeft w:val="0"/>
              <w:marRight w:val="0"/>
              <w:marTop w:val="0"/>
              <w:marBottom w:val="0"/>
              <w:divBdr>
                <w:top w:val="none" w:sz="0" w:space="0" w:color="auto"/>
                <w:left w:val="none" w:sz="0" w:space="0" w:color="auto"/>
                <w:bottom w:val="none" w:sz="0" w:space="0" w:color="auto"/>
                <w:right w:val="none" w:sz="0" w:space="0" w:color="auto"/>
              </w:divBdr>
            </w:div>
            <w:div w:id="315301418">
              <w:marLeft w:val="0"/>
              <w:marRight w:val="0"/>
              <w:marTop w:val="0"/>
              <w:marBottom w:val="0"/>
              <w:divBdr>
                <w:top w:val="none" w:sz="0" w:space="0" w:color="auto"/>
                <w:left w:val="none" w:sz="0" w:space="0" w:color="auto"/>
                <w:bottom w:val="none" w:sz="0" w:space="0" w:color="auto"/>
                <w:right w:val="none" w:sz="0" w:space="0" w:color="auto"/>
              </w:divBdr>
            </w:div>
            <w:div w:id="832454395">
              <w:marLeft w:val="0"/>
              <w:marRight w:val="0"/>
              <w:marTop w:val="0"/>
              <w:marBottom w:val="0"/>
              <w:divBdr>
                <w:top w:val="none" w:sz="0" w:space="0" w:color="auto"/>
                <w:left w:val="none" w:sz="0" w:space="0" w:color="auto"/>
                <w:bottom w:val="none" w:sz="0" w:space="0" w:color="auto"/>
                <w:right w:val="none" w:sz="0" w:space="0" w:color="auto"/>
              </w:divBdr>
            </w:div>
          </w:divsChild>
        </w:div>
        <w:div w:id="1505823263">
          <w:marLeft w:val="0"/>
          <w:marRight w:val="0"/>
          <w:marTop w:val="0"/>
          <w:marBottom w:val="0"/>
          <w:divBdr>
            <w:top w:val="none" w:sz="0" w:space="0" w:color="auto"/>
            <w:left w:val="none" w:sz="0" w:space="0" w:color="auto"/>
            <w:bottom w:val="none" w:sz="0" w:space="0" w:color="auto"/>
            <w:right w:val="none" w:sz="0" w:space="0" w:color="auto"/>
          </w:divBdr>
        </w:div>
        <w:div w:id="1149833236">
          <w:marLeft w:val="0"/>
          <w:marRight w:val="0"/>
          <w:marTop w:val="0"/>
          <w:marBottom w:val="0"/>
          <w:divBdr>
            <w:top w:val="none" w:sz="0" w:space="0" w:color="auto"/>
            <w:left w:val="none" w:sz="0" w:space="0" w:color="auto"/>
            <w:bottom w:val="none" w:sz="0" w:space="0" w:color="auto"/>
            <w:right w:val="none" w:sz="0" w:space="0" w:color="auto"/>
          </w:divBdr>
        </w:div>
        <w:div w:id="1332635907">
          <w:marLeft w:val="0"/>
          <w:marRight w:val="0"/>
          <w:marTop w:val="0"/>
          <w:marBottom w:val="0"/>
          <w:divBdr>
            <w:top w:val="none" w:sz="0" w:space="0" w:color="auto"/>
            <w:left w:val="none" w:sz="0" w:space="0" w:color="auto"/>
            <w:bottom w:val="none" w:sz="0" w:space="0" w:color="auto"/>
            <w:right w:val="none" w:sz="0" w:space="0" w:color="auto"/>
          </w:divBdr>
        </w:div>
        <w:div w:id="854072447">
          <w:marLeft w:val="0"/>
          <w:marRight w:val="0"/>
          <w:marTop w:val="0"/>
          <w:marBottom w:val="0"/>
          <w:divBdr>
            <w:top w:val="none" w:sz="0" w:space="0" w:color="auto"/>
            <w:left w:val="none" w:sz="0" w:space="0" w:color="auto"/>
            <w:bottom w:val="none" w:sz="0" w:space="0" w:color="auto"/>
            <w:right w:val="none" w:sz="0" w:space="0" w:color="auto"/>
          </w:divBdr>
        </w:div>
        <w:div w:id="1206453197">
          <w:marLeft w:val="0"/>
          <w:marRight w:val="0"/>
          <w:marTop w:val="0"/>
          <w:marBottom w:val="0"/>
          <w:divBdr>
            <w:top w:val="none" w:sz="0" w:space="0" w:color="auto"/>
            <w:left w:val="none" w:sz="0" w:space="0" w:color="auto"/>
            <w:bottom w:val="none" w:sz="0" w:space="0" w:color="auto"/>
            <w:right w:val="none" w:sz="0" w:space="0" w:color="auto"/>
          </w:divBdr>
        </w:div>
        <w:div w:id="1203398267">
          <w:marLeft w:val="0"/>
          <w:marRight w:val="0"/>
          <w:marTop w:val="0"/>
          <w:marBottom w:val="0"/>
          <w:divBdr>
            <w:top w:val="none" w:sz="0" w:space="0" w:color="auto"/>
            <w:left w:val="none" w:sz="0" w:space="0" w:color="auto"/>
            <w:bottom w:val="none" w:sz="0" w:space="0" w:color="auto"/>
            <w:right w:val="none" w:sz="0" w:space="0" w:color="auto"/>
          </w:divBdr>
        </w:div>
        <w:div w:id="591741416">
          <w:marLeft w:val="0"/>
          <w:marRight w:val="0"/>
          <w:marTop w:val="0"/>
          <w:marBottom w:val="0"/>
          <w:divBdr>
            <w:top w:val="none" w:sz="0" w:space="0" w:color="auto"/>
            <w:left w:val="none" w:sz="0" w:space="0" w:color="auto"/>
            <w:bottom w:val="none" w:sz="0" w:space="0" w:color="auto"/>
            <w:right w:val="none" w:sz="0" w:space="0" w:color="auto"/>
          </w:divBdr>
        </w:div>
        <w:div w:id="185212882">
          <w:marLeft w:val="0"/>
          <w:marRight w:val="0"/>
          <w:marTop w:val="0"/>
          <w:marBottom w:val="0"/>
          <w:divBdr>
            <w:top w:val="none" w:sz="0" w:space="0" w:color="auto"/>
            <w:left w:val="none" w:sz="0" w:space="0" w:color="auto"/>
            <w:bottom w:val="none" w:sz="0" w:space="0" w:color="auto"/>
            <w:right w:val="none" w:sz="0" w:space="0" w:color="auto"/>
          </w:divBdr>
        </w:div>
        <w:div w:id="110384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genex.com" TargetMode="External"/><Relationship Id="rId3" Type="http://schemas.openxmlformats.org/officeDocument/2006/relationships/styles" Target="styles.xml"/><Relationship Id="rId7" Type="http://schemas.openxmlformats.org/officeDocument/2006/relationships/hyperlink" Target="http://in.reuters.com/article/idINFWN1EV0Q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F8C7-452D-4148-8BF5-87BB76C0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1194</Words>
  <Characters>6811</Characters>
  <Application>Microsoft Office Word</Application>
  <DocSecurity>0</DocSecurity>
  <Lines>56</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Panova</dc:creator>
  <cp:lastModifiedBy>Mariya Nedkova</cp:lastModifiedBy>
  <cp:revision>14</cp:revision>
  <cp:lastPrinted>2016-10-31T13:06:00Z</cp:lastPrinted>
  <dcterms:created xsi:type="dcterms:W3CDTF">2016-10-22T10:30:00Z</dcterms:created>
  <dcterms:modified xsi:type="dcterms:W3CDTF">2017-04-18T13:42:00Z</dcterms:modified>
</cp:coreProperties>
</file>